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Cs w:val="32"/>
        </w:rPr>
      </w:pPr>
      <w:r>
        <w:rPr>
          <w:color w:val="FF0000"/>
          <w:szCs w:val="32"/>
        </w:rPr>
        <w:pict>
          <v:group id="_x0000_s1027" o:spid="_x0000_s1027" o:spt="203" style="position:absolute;left:0pt;margin-top:-18.65pt;height:64.5pt;width:481.9pt;mso-position-horizontal:center;z-index:251659264;mso-width-relative:page;mso-height-relative:page;" coordorigin="1129,1668" coordsize="9638,1290">
            <o:lock v:ext="edit"/>
            <v:shape id="_x0000_s1028" o:spid="_x0000_s1028" o:spt="136" type="#_x0000_t136" style="position:absolute;left:1991;top:1668;height:964;width:7937;" fillcolor="#FF0000" filled="t" o:preferrelative="t" coordsize="21600,21600">
              <v:path/>
              <v:fill on="t" focussize="0,0"/>
              <v:stroke color="#FF0000"/>
              <v:imagedata o:title=""/>
              <o:lock v:ext="edit"/>
              <v:textpath on="t" fitshape="t" fitpath="t" trim="t" xscale="f" string="安  徽  省  教  育  厅" style="font-family:方正小标宋_GBK;font-size:44pt;v-rotate-letters:f;v-same-letter-heights:f;v-text-align:center;"/>
            </v:shape>
            <v:group id="_x0000_s1029" o:spid="_x0000_s1029" o:spt="203" style="position:absolute;left:1129;top:2889;height:69;width:9638;" coordorigin="1129,2923" coordsize="9641,69">
              <o:lock v:ext="edit"/>
              <v:shape id="_x0000_s1030" o:spid="_x0000_s1030" o:spt="32" type="#_x0000_t32" style="position:absolute;left:1132;top:2923;height:0;width:9638;" filled="f" o:preferrelative="t" coordsize="21600,21600">
                <v:path arrowok="t"/>
                <v:fill on="f" focussize="0,0"/>
                <v:stroke weight="2.25pt" color="#FF0000"/>
                <v:imagedata o:title=""/>
                <o:lock v:ext="edit"/>
              </v:shape>
              <v:shape id="_x0000_s1031" o:spid="_x0000_s1031" o:spt="32" type="#_x0000_t32" style="position:absolute;left:1129;top:2992;height:0;width:9638;" filled="f" o:preferrelative="t" coordsize="21600,21600">
                <v:path arrowok="t"/>
                <v:fill on="f" focussize="0,0"/>
                <v:stroke weight="1.25pt" color="#FF0000"/>
                <v:imagedata o:title=""/>
                <o:lock v:ext="edit"/>
              </v:shape>
            </v:group>
          </v:group>
        </w:pict>
      </w:r>
      <w:r>
        <w:rPr>
          <w:szCs w:val="32"/>
        </w:rPr>
        <mc:AlternateContent>
          <mc:Choice Requires="wpg">
            <w:drawing>
              <wp:anchor distT="0" distB="0" distL="114300" distR="114300" simplePos="0" relativeHeight="251660288" behindDoc="0" locked="0" layoutInCell="1" allowOverlap="1">
                <wp:simplePos x="0" y="0"/>
                <wp:positionH relativeFrom="page">
                  <wp:align>center</wp:align>
                </wp:positionH>
                <wp:positionV relativeFrom="page">
                  <wp:posOffset>9877425</wp:posOffset>
                </wp:positionV>
                <wp:extent cx="6121400" cy="45085"/>
                <wp:effectExtent l="0" t="7620" r="12700" b="23495"/>
                <wp:wrapNone/>
                <wp:docPr id="3" name="组合 8"/>
                <wp:cNvGraphicFramePr/>
                <a:graphic xmlns:a="http://schemas.openxmlformats.org/drawingml/2006/main">
                  <a:graphicData uri="http://schemas.microsoft.com/office/word/2010/wordprocessingGroup">
                    <wpg:wgp>
                      <wpg:cNvGrpSpPr/>
                      <wpg:grpSpPr>
                        <a:xfrm>
                          <a:off x="0" y="0"/>
                          <a:ext cx="6121400" cy="45085"/>
                          <a:chOff x="1133" y="15750"/>
                          <a:chExt cx="9640" cy="71"/>
                        </a:xfrm>
                      </wpg:grpSpPr>
                      <wps:wsp>
                        <wps:cNvPr id="1" name="自选图形 9"/>
                        <wps:cNvCnPr/>
                        <wps:spPr>
                          <a:xfrm>
                            <a:off x="1133" y="15821"/>
                            <a:ext cx="9638" cy="0"/>
                          </a:xfrm>
                          <a:prstGeom prst="straightConnector1">
                            <a:avLst/>
                          </a:prstGeom>
                          <a:ln w="28575" cap="flat" cmpd="sng">
                            <a:solidFill>
                              <a:srgbClr val="FF0000"/>
                            </a:solidFill>
                            <a:prstDash val="solid"/>
                            <a:headEnd type="none" w="med" len="med"/>
                            <a:tailEnd type="none" w="med" len="med"/>
                          </a:ln>
                        </wps:spPr>
                        <wps:bodyPr/>
                      </wps:wsp>
                      <wps:wsp>
                        <wps:cNvPr id="2" name="自选图形 10"/>
                        <wps:cNvCnPr/>
                        <wps:spPr>
                          <a:xfrm>
                            <a:off x="1135" y="15750"/>
                            <a:ext cx="9638" cy="0"/>
                          </a:xfrm>
                          <a:prstGeom prst="straightConnector1">
                            <a:avLst/>
                          </a:prstGeom>
                          <a:ln w="15875" cap="flat" cmpd="sng">
                            <a:solidFill>
                              <a:srgbClr val="FF0000"/>
                            </a:solidFill>
                            <a:prstDash val="solid"/>
                            <a:headEnd type="none" w="med" len="med"/>
                            <a:tailEnd type="none" w="med" len="med"/>
                          </a:ln>
                        </wps:spPr>
                        <wps:bodyPr/>
                      </wps:wsp>
                    </wpg:wgp>
                  </a:graphicData>
                </a:graphic>
              </wp:anchor>
            </w:drawing>
          </mc:Choice>
          <mc:Fallback>
            <w:pict>
              <v:group id="组合 8" o:spid="_x0000_s1026" o:spt="203" style="position:absolute;left:0pt;margin-top:777.75pt;height:3.55pt;width:482pt;mso-position-horizontal:center;mso-position-horizontal-relative:page;mso-position-vertical-relative:page;z-index:251660288;mso-width-relative:page;mso-height-relative:page;" coordorigin="1133,15750" coordsize="9640,71" o:gfxdata="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">
                <o:lock v:ext="edit" aspectratio="f"/>
                <v:shape id="自选图形 9" o:spid="_x0000_s1026" o:spt="32" type="#_x0000_t32" style="position:absolute;left:1133;top:15821;height:0;width:9638;" filled="f" stroked="t" coordsize="21600,21600" o:gfxdata="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x07t0ugAAANoA&#10;AAAPAAAAAAAAAAEAIAAAACIAAABkcnMvZG93bnJldi54bWxQSwECFAAUAAAACACHTuJAMy8FnjsA&#10;AAA5AAAAEAAAAAAAAAABACAAAAAJAQAAZHJzL3NoYXBleG1sLnhtbFBLBQYAAAAABgAGAFsBAACz&#10;AwAAAAA=&#10;">
                  <v:fill on="f" focussize="0,0"/>
                  <v:stroke weight="2.25pt" color="#FF0000" joinstyle="round"/>
                  <v:imagedata o:title=""/>
                  <o:lock v:ext="edit" aspectratio="f"/>
                </v:shape>
                <v:shape id="自选图形 10" o:spid="_x0000_s1026" o:spt="32" type="#_x0000_t32" style="position:absolute;left:1135;top:15750;height:0;width:9638;" filled="f" stroked="t" coordsize="21600,21600" o:gfxdata="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gTAnYvQAA&#10;ANoAAAAPAAAAAAAAAAEAIAAAACIAAABkcnMvZG93bnJldi54bWxQSwECFAAUAAAACACHTuJAMy8F&#10;njsAAAA5AAAAEAAAAAAAAAABACAAAAAMAQAAZHJzL3NoYXBleG1sLnhtbFBLBQYAAAAABgAGAFsB&#10;AAC2AwAAAAA=&#10;">
                  <v:fill on="f" focussize="0,0"/>
                  <v:stroke weight="1.25pt" color="#FF0000" joinstyle="round"/>
                  <v:imagedata o:title=""/>
                  <o:lock v:ext="edit" aspectratio="f"/>
                </v:shape>
              </v:group>
            </w:pict>
          </mc:Fallback>
        </mc:AlternateContent>
      </w:r>
    </w:p>
    <w:p>
      <w:pPr>
        <w:bidi w:val="0"/>
        <w:rPr>
          <w:rFonts w:hint="eastAsia" w:eastAsia="方正仿宋_GBK"/>
          <w:kern w:val="2"/>
          <w:sz w:val="32"/>
          <w:szCs w:val="24"/>
          <w:lang w:val="en-US" w:eastAsia="zh-CN" w:bidi="ar-SA"/>
        </w:rPr>
      </w:pPr>
    </w:p>
    <w:p>
      <w:pPr>
        <w:keepNext w:val="0"/>
        <w:keepLines w:val="0"/>
        <w:widowControl/>
        <w:suppressLineNumbers w:val="0"/>
        <w:jc w:val="right"/>
        <w:rPr>
          <w:rFonts w:hint="eastAsia" w:ascii="方正仿宋_GBK" w:hAnsi="方正仿宋_GBK" w:eastAsia="方正仿宋_GBK" w:cs="方正仿宋_GBK"/>
          <w:sz w:val="32"/>
          <w:szCs w:val="32"/>
        </w:rPr>
      </w:pPr>
      <w:bookmarkStart w:id="0" w:name="quanwen"/>
      <w:r>
        <w:rPr>
          <w:rFonts w:hint="eastAsia" w:ascii="方正仿宋_GBK" w:hAnsi="方正仿宋_GBK" w:eastAsia="方正仿宋_GBK" w:cs="方正仿宋_GBK"/>
          <w:i w:val="0"/>
          <w:caps w:val="0"/>
          <w:color w:val="000000"/>
          <w:spacing w:val="0"/>
          <w:kern w:val="0"/>
          <w:sz w:val="32"/>
          <w:szCs w:val="32"/>
          <w:shd w:val="clear" w:color="auto" w:fill="FFFFFF"/>
          <w:lang w:val="en-US" w:eastAsia="zh-CN" w:bidi="ar"/>
        </w:rPr>
        <w:t>皖教秘高〔2022〕53号</w:t>
      </w:r>
    </w:p>
    <w:p>
      <w:pPr>
        <w:keepNext w:val="0"/>
        <w:keepLines w:val="0"/>
        <w:pageBreakBefore w:val="0"/>
        <w:widowControl/>
        <w:shd w:val="clear" w:color="auto" w:fill="FFFFFF"/>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bCs/>
          <w:kern w:val="0"/>
          <w:sz w:val="44"/>
          <w:szCs w:val="44"/>
          <w:shd w:val="clear" w:color="auto" w:fill="FFFFFF"/>
          <w:lang w:bidi="ar"/>
        </w:rPr>
      </w:pPr>
    </w:p>
    <w:p>
      <w:pPr>
        <w:keepNext w:val="0"/>
        <w:keepLines w:val="0"/>
        <w:pageBreakBefore w:val="0"/>
        <w:widowControl/>
        <w:shd w:val="clear" w:color="auto" w:fill="FFFFFF"/>
        <w:kinsoku/>
        <w:wordWrap/>
        <w:overflowPunct/>
        <w:topLinePunct w:val="0"/>
        <w:autoSpaceDE/>
        <w:autoSpaceDN/>
        <w:bidi w:val="0"/>
        <w:adjustRightInd/>
        <w:snapToGrid/>
        <w:spacing w:line="600" w:lineRule="exact"/>
        <w:jc w:val="center"/>
        <w:textAlignment w:val="auto"/>
        <w:rPr>
          <w:rFonts w:ascii="宋体" w:hAnsi="宋体" w:eastAsia="宋体" w:cs="宋体"/>
          <w:kern w:val="0"/>
          <w:sz w:val="44"/>
          <w:szCs w:val="44"/>
        </w:rPr>
      </w:pPr>
      <w:r>
        <w:rPr>
          <w:rFonts w:hint="eastAsia" w:ascii="方正小标宋_GBK" w:hAnsi="方正小标宋_GBK" w:eastAsia="方正小标宋_GBK" w:cs="方正小标宋_GBK"/>
          <w:bCs/>
          <w:kern w:val="0"/>
          <w:sz w:val="44"/>
          <w:szCs w:val="44"/>
          <w:shd w:val="clear" w:color="auto" w:fill="FFFFFF"/>
          <w:lang w:bidi="ar"/>
        </w:rPr>
        <w:t>安徽省教育厅关于对相关课程建设类项目进行年度检查验收的通知</w:t>
      </w:r>
    </w:p>
    <w:p>
      <w:pPr>
        <w:keepNext w:val="0"/>
        <w:keepLines w:val="0"/>
        <w:pageBreakBefore w:val="0"/>
        <w:widowControl/>
        <w:shd w:val="clear" w:color="auto" w:fill="FFFFFF"/>
        <w:kinsoku/>
        <w:wordWrap/>
        <w:overflowPunct/>
        <w:topLinePunct w:val="0"/>
        <w:autoSpaceDE/>
        <w:autoSpaceDN/>
        <w:bidi w:val="0"/>
        <w:adjustRightInd/>
        <w:snapToGrid/>
        <w:spacing w:line="600" w:lineRule="exact"/>
        <w:jc w:val="center"/>
        <w:textAlignment w:val="auto"/>
        <w:rPr>
          <w:rFonts w:ascii="宋体" w:hAnsi="宋体" w:eastAsia="宋体" w:cs="宋体"/>
          <w:kern w:val="0"/>
          <w:sz w:val="44"/>
          <w:szCs w:val="44"/>
        </w:rPr>
      </w:pPr>
    </w:p>
    <w:p>
      <w:pPr>
        <w:keepNext w:val="0"/>
        <w:keepLines w:val="0"/>
        <w:pageBreakBefore w:val="0"/>
        <w:widowControl/>
        <w:shd w:val="clear" w:color="auto" w:fill="FFFFFF"/>
        <w:kinsoku/>
        <w:wordWrap/>
        <w:overflowPunct/>
        <w:topLinePunct w:val="0"/>
        <w:autoSpaceDE/>
        <w:autoSpaceDN/>
        <w:bidi w:val="0"/>
        <w:adjustRightInd/>
        <w:snapToGrid/>
        <w:spacing w:line="600" w:lineRule="exact"/>
        <w:jc w:val="left"/>
        <w:textAlignment w:val="auto"/>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bCs/>
          <w:kern w:val="0"/>
          <w:sz w:val="32"/>
          <w:szCs w:val="32"/>
          <w:shd w:val="clear" w:color="auto" w:fill="FFFFFF"/>
          <w:lang w:bidi="ar"/>
        </w:rPr>
        <w:t>各有关高校：</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bCs/>
          <w:kern w:val="0"/>
          <w:sz w:val="32"/>
          <w:szCs w:val="32"/>
          <w:shd w:val="clear" w:color="auto" w:fill="FFFFFF"/>
          <w:lang w:bidi="ar"/>
        </w:rPr>
        <w:t>根据《安徽省教育厅关于开展高等学校质量工程项目年度检查验收工作的通知》（皖教秘高〔2022〕34号），课程建设类项目委托安徽省高校数字图书馆专门组织检查验收。现就有关事项通知如下：</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黑体_GBK" w:hAnsi="方正黑体_GBK" w:eastAsia="方正黑体_GBK" w:cs="方正黑体_GBK"/>
          <w:kern w:val="0"/>
          <w:sz w:val="32"/>
          <w:szCs w:val="32"/>
        </w:rPr>
      </w:pPr>
      <w:r>
        <w:rPr>
          <w:rFonts w:hint="eastAsia" w:ascii="方正黑体_GBK" w:hAnsi="方正黑体_GBK" w:eastAsia="方正黑体_GBK" w:cs="方正黑体_GBK"/>
          <w:bCs/>
          <w:kern w:val="0"/>
          <w:sz w:val="32"/>
          <w:szCs w:val="32"/>
          <w:shd w:val="clear" w:color="auto" w:fill="FFFFFF"/>
          <w:lang w:bidi="ar"/>
        </w:rPr>
        <w:t>一、年度检查验收的项目范围</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2015年以来立项且未结题的省级质量工程课程建设类项目，包括线上课程（原MOOC）、线下课程（原精品线下开放课程）、线上线下混合式课程、社会实践课程、虚拟仿真实验教学课程、课程思政示范课程、精品开放课程、智慧课堂、“双基”建设项目中的教学示范课等。</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黑体_GBK" w:hAnsi="方正黑体_GBK" w:eastAsia="方正黑体_GBK" w:cs="方正黑体_GBK"/>
          <w:bCs/>
          <w:kern w:val="0"/>
          <w:sz w:val="32"/>
          <w:szCs w:val="32"/>
          <w:shd w:val="clear" w:color="auto" w:fill="FFFFFF"/>
          <w:lang w:bidi="ar"/>
        </w:rPr>
      </w:pPr>
      <w:r>
        <w:rPr>
          <w:rFonts w:hint="eastAsia" w:ascii="方正黑体_GBK" w:hAnsi="方正黑体_GBK" w:eastAsia="方正黑体_GBK" w:cs="方正黑体_GBK"/>
          <w:bCs/>
          <w:kern w:val="0"/>
          <w:sz w:val="32"/>
          <w:szCs w:val="32"/>
          <w:shd w:val="clear" w:color="auto" w:fill="FFFFFF"/>
          <w:lang w:bidi="ar"/>
        </w:rPr>
        <w:t>二、年度检查验收的主要内容</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检查形式分为阶段检查和结题验收两大类。</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sectPr>
          <w:pgSz w:w="11906" w:h="16838"/>
          <w:pgMar w:top="2041" w:right="1531" w:bottom="2041" w:left="1531" w:header="851" w:footer="1588" w:gutter="0"/>
          <w:cols w:space="720" w:num="1"/>
          <w:docGrid w:type="linesAndChars" w:linePitch="579" w:charSpace="-849"/>
        </w:sectPr>
      </w:pPr>
      <w:r>
        <w:rPr>
          <w:rFonts w:hint="eastAsia" w:ascii="方正仿宋_GBK" w:hAnsi="方正仿宋_GBK" w:eastAsia="方正仿宋_GBK" w:cs="方正仿宋_GBK"/>
          <w:bCs/>
          <w:kern w:val="0"/>
          <w:sz w:val="32"/>
          <w:szCs w:val="32"/>
          <w:shd w:val="clear" w:color="auto" w:fill="FFFFFF"/>
          <w:lang w:bidi="ar"/>
        </w:rPr>
        <w:t>课程类项目建设周期均为2年。到期因故不能按时结题的项</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目可以申请延期一年，每个项目仅可申请延期一次；对于申请结题验收但验收结果给予“建议延期”的项目将视为延期一年；应结题且已批准延期一年结题而仍未通过验收的一律做撤项处理。</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各类项目具体要求如下：</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楷体_GBK" w:hAnsi="方正楷体_GBK" w:eastAsia="方正楷体_GBK" w:cs="方正楷体_GBK"/>
          <w:bCs/>
          <w:kern w:val="0"/>
          <w:sz w:val="32"/>
          <w:szCs w:val="32"/>
          <w:shd w:val="clear" w:color="auto" w:fill="FFFFFF"/>
          <w:lang w:bidi="ar"/>
        </w:rPr>
      </w:pPr>
      <w:r>
        <w:rPr>
          <w:rFonts w:hint="eastAsia" w:ascii="方正楷体_GBK" w:hAnsi="方正楷体_GBK" w:eastAsia="方正楷体_GBK" w:cs="方正楷体_GBK"/>
          <w:bCs/>
          <w:kern w:val="0"/>
          <w:sz w:val="32"/>
          <w:szCs w:val="32"/>
          <w:shd w:val="clear" w:color="auto" w:fill="FFFFFF"/>
          <w:lang w:bidi="ar"/>
        </w:rPr>
        <w:t>(一）线上课程（原MOOC）</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
          <w:bCs/>
          <w:kern w:val="0"/>
          <w:sz w:val="32"/>
          <w:szCs w:val="32"/>
          <w:shd w:val="clear" w:color="auto" w:fill="FFFFFF"/>
          <w:lang w:bidi="ar"/>
        </w:rPr>
      </w:pPr>
      <w:r>
        <w:rPr>
          <w:rFonts w:hint="eastAsia" w:ascii="方正仿宋_GBK" w:hAnsi="方正仿宋_GBK" w:eastAsia="方正仿宋_GBK" w:cs="方正仿宋_GBK"/>
          <w:b/>
          <w:bCs/>
          <w:kern w:val="0"/>
          <w:sz w:val="32"/>
          <w:szCs w:val="32"/>
          <w:shd w:val="clear" w:color="auto" w:fill="FFFFFF"/>
          <w:lang w:bidi="ar"/>
        </w:rPr>
        <w:t>1.检查验收类型</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2018年及之前延期项目和2019年度立项项目进行结题验收；2020年度立项项目进行阶段检查。2018年及之前项目验收标准参照“安徽省精品在线开放课程结题验收标准（2018版）”要求执行；2019年度项目验收标准参照2019年度申报指南中的“安徽省精品在线开放课程结题验收标准（2019版）”要求执行。</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
          <w:bCs/>
          <w:kern w:val="0"/>
          <w:sz w:val="32"/>
          <w:szCs w:val="32"/>
          <w:shd w:val="clear" w:color="auto" w:fill="FFFFFF"/>
          <w:lang w:bidi="ar"/>
        </w:rPr>
      </w:pPr>
      <w:r>
        <w:rPr>
          <w:rFonts w:hint="eastAsia" w:ascii="方正仿宋_GBK" w:hAnsi="方正仿宋_GBK" w:eastAsia="方正仿宋_GBK" w:cs="方正仿宋_GBK"/>
          <w:b/>
          <w:bCs/>
          <w:kern w:val="0"/>
          <w:sz w:val="32"/>
          <w:szCs w:val="32"/>
          <w:shd w:val="clear" w:color="auto" w:fill="FFFFFF"/>
          <w:lang w:bidi="ar"/>
        </w:rPr>
        <w:t>2.检查验收方式</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结题验收由安徽省网络课程学习中心组织专家进行线上评审；阶段检查委托各高校按照要求组织检查，安徽省网络课程学习中心组织专家对学校检查验收的结果进行认定。</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
          <w:bCs/>
          <w:kern w:val="0"/>
          <w:sz w:val="32"/>
          <w:szCs w:val="32"/>
          <w:shd w:val="clear" w:color="auto" w:fill="FFFFFF"/>
          <w:lang w:bidi="ar"/>
        </w:rPr>
      </w:pPr>
      <w:r>
        <w:rPr>
          <w:rFonts w:hint="eastAsia" w:ascii="方正仿宋_GBK" w:hAnsi="方正仿宋_GBK" w:eastAsia="方正仿宋_GBK" w:cs="方正仿宋_GBK"/>
          <w:b/>
          <w:bCs/>
          <w:kern w:val="0"/>
          <w:sz w:val="32"/>
          <w:szCs w:val="32"/>
          <w:shd w:val="clear" w:color="auto" w:fill="FFFFFF"/>
          <w:lang w:bidi="ar"/>
        </w:rPr>
        <w:t>3.结题验收主要内容</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项目结题验收以课程应用为导向，必须在安徽省网络课程学习中心平台（e会学）或者国内外主流网络课程平台上线运营。</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结题验收标准如下：</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
          <w:bCs/>
          <w:kern w:val="0"/>
          <w:sz w:val="32"/>
          <w:szCs w:val="32"/>
          <w:shd w:val="clear" w:color="auto" w:fill="FFFFFF"/>
          <w:lang w:bidi="ar"/>
        </w:rPr>
      </w:pPr>
      <w:r>
        <w:rPr>
          <w:rFonts w:hint="eastAsia" w:ascii="方正仿宋_GBK" w:hAnsi="方正仿宋_GBK" w:eastAsia="方正仿宋_GBK" w:cs="方正仿宋_GBK"/>
          <w:b/>
          <w:bCs/>
          <w:kern w:val="0"/>
          <w:sz w:val="32"/>
          <w:szCs w:val="32"/>
          <w:shd w:val="clear" w:color="auto" w:fill="FFFFFF"/>
          <w:lang w:bidi="ar"/>
        </w:rPr>
        <w:t>满足以下条件之一可以评为“优秀”：</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已入选国家精品在线开放课程（国家级线上一流课程）的项目；</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已入选安徽省推荐申报国家精品在线开放课程（国家级线上一流课程）的项目；</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已入选省内教育部直属高校（合肥工业大学）或其他中央部门（单位）所属高校（中国科学技术大学）推荐申报国家精品在线开放课程（国家级线上一流课程）的项目。</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
          <w:bCs/>
          <w:kern w:val="0"/>
          <w:sz w:val="32"/>
          <w:szCs w:val="32"/>
          <w:shd w:val="clear" w:color="auto" w:fill="FFFFFF"/>
          <w:lang w:bidi="ar"/>
        </w:rPr>
      </w:pPr>
      <w:r>
        <w:rPr>
          <w:rFonts w:hint="eastAsia" w:ascii="方正仿宋_GBK" w:hAnsi="方正仿宋_GBK" w:eastAsia="方正仿宋_GBK" w:cs="方正仿宋_GBK"/>
          <w:b/>
          <w:bCs/>
          <w:kern w:val="0"/>
          <w:sz w:val="32"/>
          <w:szCs w:val="32"/>
          <w:shd w:val="clear" w:color="auto" w:fill="FFFFFF"/>
          <w:lang w:bidi="ar"/>
        </w:rPr>
        <w:t>满足以下条件可以评为“良好”：</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符合省级质量工程MOOC示范项目结题验收审核标准（指各项指标均满足“安徽省精品在线开放课程结题验收标准”要求，其中，2018年及之前项目适用2018版验收标准，2019年项目适用2019版验收标准）且上线运营成果显著的项目。</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
          <w:bCs/>
          <w:kern w:val="0"/>
          <w:sz w:val="32"/>
          <w:szCs w:val="32"/>
          <w:shd w:val="clear" w:color="auto" w:fill="FFFFFF"/>
          <w:lang w:bidi="ar"/>
        </w:rPr>
      </w:pPr>
      <w:r>
        <w:rPr>
          <w:rFonts w:hint="eastAsia" w:ascii="方正仿宋_GBK" w:hAnsi="方正仿宋_GBK" w:eastAsia="方正仿宋_GBK" w:cs="方正仿宋_GBK"/>
          <w:b/>
          <w:bCs/>
          <w:kern w:val="0"/>
          <w:sz w:val="32"/>
          <w:szCs w:val="32"/>
          <w:shd w:val="clear" w:color="auto" w:fill="FFFFFF"/>
          <w:lang w:bidi="ar"/>
        </w:rPr>
        <w:t>满足以下条件可以评为“合格”：</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基本符合省级质量工程MOOC示范项目结题验收审核标准（指至少学习总人次、视频时长、教学周期数三项指标满足“安徽省精品在线开放课程结题验收标准”要求，其中，2018年及之前项目适用2018版验收标准，2019年项目适用2019版验收标准）的项目。</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
          <w:bCs/>
          <w:kern w:val="0"/>
          <w:sz w:val="32"/>
          <w:szCs w:val="32"/>
          <w:shd w:val="clear" w:color="auto" w:fill="FFFFFF"/>
          <w:lang w:bidi="ar"/>
        </w:rPr>
      </w:pPr>
      <w:r>
        <w:rPr>
          <w:rFonts w:hint="eastAsia" w:ascii="方正仿宋_GBK" w:hAnsi="方正仿宋_GBK" w:eastAsia="方正仿宋_GBK" w:cs="方正仿宋_GBK"/>
          <w:b/>
          <w:bCs/>
          <w:kern w:val="0"/>
          <w:sz w:val="32"/>
          <w:szCs w:val="32"/>
          <w:shd w:val="clear" w:color="auto" w:fill="FFFFFF"/>
          <w:lang w:bidi="ar"/>
        </w:rPr>
        <w:t>4.结题验收材料要求</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（1）项目结题报告；</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2）《课程数据信息表》（附件1）（需加盖平台公章，如在不同平台开课可按平台分别提供；符合“优秀”标准的课程无需提供；在安徽省网络课程学习中心平台（e会学）开设且完成2个完整教学周期的课程，将由平台统一公示课程运营情况）；</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（3）申请延期的项目提交延期报告。</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
          <w:bCs/>
          <w:kern w:val="0"/>
          <w:sz w:val="32"/>
          <w:szCs w:val="32"/>
          <w:shd w:val="clear" w:color="auto" w:fill="FFFFFF"/>
          <w:lang w:bidi="ar"/>
        </w:rPr>
      </w:pPr>
      <w:r>
        <w:rPr>
          <w:rFonts w:hint="eastAsia" w:ascii="方正仿宋_GBK" w:hAnsi="方正仿宋_GBK" w:eastAsia="方正仿宋_GBK" w:cs="方正仿宋_GBK"/>
          <w:b/>
          <w:bCs/>
          <w:kern w:val="0"/>
          <w:sz w:val="32"/>
          <w:szCs w:val="32"/>
          <w:shd w:val="clear" w:color="auto" w:fill="FFFFFF"/>
          <w:lang w:bidi="ar"/>
        </w:rPr>
        <w:t>5.阶段检查主要内容</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阶段检查以督促项目建设及运营为目的，建议检查标准如下：</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已完成全部课程拍摄并在相关平台开课的项目评为“优秀”；</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已完成部分课程拍摄并上线运营项目评为“良好”或者“合格”；</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不符合以上2点要求的评为“建议整改”。</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
          <w:bCs/>
          <w:kern w:val="0"/>
          <w:sz w:val="32"/>
          <w:szCs w:val="32"/>
          <w:shd w:val="clear" w:color="auto" w:fill="FFFFFF"/>
          <w:lang w:bidi="ar"/>
        </w:rPr>
      </w:pPr>
      <w:r>
        <w:rPr>
          <w:rFonts w:hint="eastAsia" w:ascii="方正仿宋_GBK" w:hAnsi="方正仿宋_GBK" w:eastAsia="方正仿宋_GBK" w:cs="方正仿宋_GBK"/>
          <w:b/>
          <w:bCs/>
          <w:kern w:val="0"/>
          <w:sz w:val="32"/>
          <w:szCs w:val="32"/>
          <w:shd w:val="clear" w:color="auto" w:fill="FFFFFF"/>
          <w:lang w:bidi="ar"/>
        </w:rPr>
        <w:t>6.阶段检查材料要求</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8" w:firstLineChars="202"/>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项目进展报告</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楷体_GBK" w:hAnsi="方正楷体_GBK" w:eastAsia="方正楷体_GBK" w:cs="方正楷体_GBK"/>
          <w:bCs/>
          <w:kern w:val="0"/>
          <w:sz w:val="32"/>
          <w:szCs w:val="32"/>
          <w:shd w:val="clear" w:color="auto" w:fill="FFFFFF"/>
          <w:lang w:bidi="ar"/>
        </w:rPr>
      </w:pPr>
      <w:r>
        <w:rPr>
          <w:rFonts w:hint="eastAsia" w:ascii="方正楷体_GBK" w:hAnsi="方正楷体_GBK" w:eastAsia="方正楷体_GBK" w:cs="方正楷体_GBK"/>
          <w:bCs/>
          <w:kern w:val="0"/>
          <w:sz w:val="32"/>
          <w:szCs w:val="32"/>
          <w:shd w:val="clear" w:color="auto" w:fill="FFFFFF"/>
          <w:lang w:bidi="ar"/>
        </w:rPr>
        <w:t>（二）线下课程（原精品线下开放课程）</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
          <w:bCs/>
          <w:kern w:val="0"/>
          <w:sz w:val="32"/>
          <w:szCs w:val="32"/>
          <w:shd w:val="clear" w:color="auto" w:fill="FFFFFF"/>
          <w:lang w:bidi="ar"/>
        </w:rPr>
      </w:pPr>
      <w:r>
        <w:rPr>
          <w:rFonts w:hint="eastAsia" w:ascii="方正仿宋_GBK" w:hAnsi="方正仿宋_GBK" w:eastAsia="方正仿宋_GBK" w:cs="方正仿宋_GBK"/>
          <w:b/>
          <w:bCs/>
          <w:kern w:val="0"/>
          <w:sz w:val="32"/>
          <w:szCs w:val="32"/>
          <w:shd w:val="clear" w:color="auto" w:fill="FFFFFF"/>
          <w:lang w:bidi="ar"/>
        </w:rPr>
        <w:t>1.检查验收类型</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2018年度延期项目和2019年度立项项目进行结题验收；2020年度立项项目进行阶段检查。2018年项目验收标准参照“精品线下开放课程结题验收标准（2018版）”要求执行；2019年度项目验收标准参照2019年度申报指南中的“安徽省精品线下开放课程结题验收标准（2019版）”要求执行。</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
          <w:bCs/>
          <w:kern w:val="0"/>
          <w:sz w:val="32"/>
          <w:szCs w:val="32"/>
          <w:shd w:val="clear" w:color="auto" w:fill="FFFFFF"/>
          <w:lang w:bidi="ar"/>
        </w:rPr>
      </w:pPr>
      <w:r>
        <w:rPr>
          <w:rFonts w:hint="eastAsia" w:ascii="方正仿宋_GBK" w:hAnsi="方正仿宋_GBK" w:eastAsia="方正仿宋_GBK" w:cs="方正仿宋_GBK"/>
          <w:b/>
          <w:bCs/>
          <w:kern w:val="0"/>
          <w:sz w:val="32"/>
          <w:szCs w:val="32"/>
          <w:shd w:val="clear" w:color="auto" w:fill="FFFFFF"/>
          <w:lang w:bidi="ar"/>
        </w:rPr>
        <w:t>2.检查验收方式</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委托各高校按照要求组织检查验收，安徽省网络课程学习中心组织专家对学校检查验收的结果进行认定。</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
          <w:bCs/>
          <w:kern w:val="0"/>
          <w:sz w:val="32"/>
          <w:szCs w:val="32"/>
          <w:shd w:val="clear" w:color="auto" w:fill="FFFFFF"/>
          <w:lang w:bidi="ar"/>
        </w:rPr>
      </w:pPr>
      <w:r>
        <w:rPr>
          <w:rFonts w:hint="eastAsia" w:ascii="方正仿宋_GBK" w:hAnsi="方正仿宋_GBK" w:eastAsia="方正仿宋_GBK" w:cs="方正仿宋_GBK"/>
          <w:b/>
          <w:bCs/>
          <w:kern w:val="0"/>
          <w:sz w:val="32"/>
          <w:szCs w:val="32"/>
          <w:shd w:val="clear" w:color="auto" w:fill="FFFFFF"/>
          <w:lang w:bidi="ar"/>
        </w:rPr>
        <w:t>3.结题验收主要内容</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各校结题验收按照立项当年申报指南中的《</w:t>
      </w:r>
      <w:r>
        <w:rPr>
          <w:rFonts w:hint="eastAsia" w:ascii="方正仿宋_GBK" w:hAnsi="方正仿宋_GBK" w:eastAsia="方正仿宋_GBK" w:cs="方正仿宋_GBK"/>
          <w:color w:val="000000"/>
          <w:kern w:val="0"/>
          <w:sz w:val="32"/>
          <w:szCs w:val="32"/>
        </w:rPr>
        <w:t>精品线下开放课程</w:t>
      </w:r>
      <w:r>
        <w:rPr>
          <w:rFonts w:hint="eastAsia" w:ascii="方正仿宋_GBK" w:hAnsi="方正仿宋_GBK" w:eastAsia="方正仿宋_GBK" w:cs="方正仿宋_GBK"/>
          <w:kern w:val="0"/>
          <w:sz w:val="32"/>
          <w:szCs w:val="32"/>
        </w:rPr>
        <w:t>结题验收标准</w:t>
      </w:r>
      <w:r>
        <w:rPr>
          <w:rFonts w:hint="eastAsia" w:ascii="方正仿宋_GBK" w:hAnsi="方正仿宋_GBK" w:eastAsia="方正仿宋_GBK" w:cs="方正仿宋_GBK"/>
          <w:bCs/>
          <w:kern w:val="0"/>
          <w:sz w:val="32"/>
          <w:szCs w:val="32"/>
          <w:shd w:val="clear" w:color="auto" w:fill="FFFFFF"/>
          <w:lang w:bidi="ar"/>
        </w:rPr>
        <w:t>》要求，对照项目任务书，组织专家进行评审，根据完成情况分别给予“优秀”、“良好”、“合格”、“同意延期”等自查结论。</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
          <w:bCs/>
          <w:kern w:val="0"/>
          <w:sz w:val="32"/>
          <w:szCs w:val="32"/>
          <w:shd w:val="clear" w:color="auto" w:fill="FFFFFF"/>
          <w:lang w:bidi="ar"/>
        </w:rPr>
      </w:pPr>
      <w:r>
        <w:rPr>
          <w:rFonts w:hint="eastAsia" w:ascii="方正仿宋_GBK" w:hAnsi="方正仿宋_GBK" w:eastAsia="方正仿宋_GBK" w:cs="方正仿宋_GBK"/>
          <w:b/>
          <w:bCs/>
          <w:kern w:val="0"/>
          <w:sz w:val="32"/>
          <w:szCs w:val="32"/>
          <w:shd w:val="clear" w:color="auto" w:fill="FFFFFF"/>
          <w:lang w:bidi="ar"/>
        </w:rPr>
        <w:t>4.结题验收材料要求</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项目结题报告</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
          <w:bCs/>
          <w:kern w:val="0"/>
          <w:sz w:val="32"/>
          <w:szCs w:val="32"/>
          <w:shd w:val="clear" w:color="auto" w:fill="FFFFFF"/>
          <w:lang w:bidi="ar"/>
        </w:rPr>
      </w:pPr>
      <w:r>
        <w:rPr>
          <w:rFonts w:hint="eastAsia" w:ascii="方正仿宋_GBK" w:hAnsi="方正仿宋_GBK" w:eastAsia="方正仿宋_GBK" w:cs="方正仿宋_GBK"/>
          <w:b/>
          <w:bCs/>
          <w:kern w:val="0"/>
          <w:sz w:val="32"/>
          <w:szCs w:val="32"/>
          <w:shd w:val="clear" w:color="auto" w:fill="FFFFFF"/>
          <w:lang w:bidi="ar"/>
        </w:rPr>
        <w:t>5.阶段检查主要内容</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线下课程应在内容和教学方式方法上与时俱进，以提升学生综合能力为重点，重塑课程内容，创新教学方法，打破课堂沉默状态，焕发课堂生机活力，较好发挥课堂教学主阵地、主渠道、主战场作用。强调以教为中心向以学为中心转变，因材施教，运用适当的数字化教学工具，有效开展线下课堂教学活动，训练学生问题解决能力和审辩式思维能力，提高教学质量。</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阶段检查建议标准如下：</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已开展教学内容重构并运用数字化教学工具创新教学方法的项目评为“优秀”；</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其他项目根据专家评审结果给予“良好”、“合格”、“建议整改”等结论。</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
          <w:bCs/>
          <w:kern w:val="0"/>
          <w:sz w:val="32"/>
          <w:szCs w:val="32"/>
          <w:shd w:val="clear" w:color="auto" w:fill="FFFFFF"/>
          <w:lang w:bidi="ar"/>
        </w:rPr>
      </w:pPr>
      <w:r>
        <w:rPr>
          <w:rFonts w:hint="eastAsia" w:ascii="方正仿宋_GBK" w:hAnsi="方正仿宋_GBK" w:eastAsia="方正仿宋_GBK" w:cs="方正仿宋_GBK"/>
          <w:b/>
          <w:bCs/>
          <w:kern w:val="0"/>
          <w:sz w:val="32"/>
          <w:szCs w:val="32"/>
          <w:shd w:val="clear" w:color="auto" w:fill="FFFFFF"/>
          <w:lang w:bidi="ar"/>
        </w:rPr>
        <w:t>6.阶段检查材料要求</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项目进展报告</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楷体_GBK" w:hAnsi="方正楷体_GBK" w:eastAsia="方正楷体_GBK" w:cs="方正楷体_GBK"/>
          <w:bCs/>
          <w:kern w:val="0"/>
          <w:sz w:val="32"/>
          <w:szCs w:val="32"/>
          <w:shd w:val="clear" w:color="auto" w:fill="FFFFFF"/>
          <w:lang w:bidi="ar"/>
        </w:rPr>
      </w:pPr>
      <w:r>
        <w:rPr>
          <w:rFonts w:hint="eastAsia" w:ascii="方正楷体_GBK" w:hAnsi="方正楷体_GBK" w:eastAsia="方正楷体_GBK" w:cs="方正楷体_GBK"/>
          <w:bCs/>
          <w:kern w:val="0"/>
          <w:sz w:val="32"/>
          <w:szCs w:val="32"/>
          <w:shd w:val="clear" w:color="auto" w:fill="FFFFFF"/>
          <w:lang w:bidi="ar"/>
        </w:rPr>
        <w:t>（三）线上线下混合式课程</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
          <w:bCs/>
          <w:kern w:val="0"/>
          <w:sz w:val="32"/>
          <w:szCs w:val="32"/>
          <w:shd w:val="clear" w:color="auto" w:fill="FFFFFF"/>
          <w:lang w:bidi="ar"/>
        </w:rPr>
      </w:pPr>
      <w:r>
        <w:rPr>
          <w:rFonts w:hint="eastAsia" w:ascii="方正仿宋_GBK" w:hAnsi="方正仿宋_GBK" w:eastAsia="方正仿宋_GBK" w:cs="方正仿宋_GBK"/>
          <w:b/>
          <w:bCs/>
          <w:kern w:val="0"/>
          <w:sz w:val="32"/>
          <w:szCs w:val="32"/>
          <w:shd w:val="clear" w:color="auto" w:fill="FFFFFF"/>
          <w:lang w:bidi="ar"/>
        </w:rPr>
        <w:t>1.检查验收类型</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2020年度立项项目进行阶段检查。</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
          <w:bCs/>
          <w:kern w:val="0"/>
          <w:sz w:val="32"/>
          <w:szCs w:val="32"/>
          <w:shd w:val="clear" w:color="auto" w:fill="FFFFFF"/>
          <w:lang w:bidi="ar"/>
        </w:rPr>
      </w:pPr>
      <w:r>
        <w:rPr>
          <w:rFonts w:hint="eastAsia" w:ascii="方正仿宋_GBK" w:hAnsi="方正仿宋_GBK" w:eastAsia="方正仿宋_GBK" w:cs="方正仿宋_GBK"/>
          <w:b/>
          <w:bCs/>
          <w:kern w:val="0"/>
          <w:sz w:val="32"/>
          <w:szCs w:val="32"/>
          <w:shd w:val="clear" w:color="auto" w:fill="FFFFFF"/>
          <w:lang w:bidi="ar"/>
        </w:rPr>
        <w:t>2.检查验收方式</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委托各高校按照要求组织检查验收，安徽省网络课程学习中心组织专家对学校检查验收的结果进行认定。</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
          <w:bCs/>
          <w:kern w:val="0"/>
          <w:sz w:val="32"/>
          <w:szCs w:val="32"/>
          <w:shd w:val="clear" w:color="auto" w:fill="FFFFFF"/>
          <w:lang w:bidi="ar"/>
        </w:rPr>
      </w:pPr>
      <w:r>
        <w:rPr>
          <w:rFonts w:hint="eastAsia" w:ascii="方正仿宋_GBK" w:hAnsi="方正仿宋_GBK" w:eastAsia="方正仿宋_GBK" w:cs="方正仿宋_GBK"/>
          <w:b/>
          <w:bCs/>
          <w:kern w:val="0"/>
          <w:sz w:val="32"/>
          <w:szCs w:val="32"/>
          <w:shd w:val="clear" w:color="auto" w:fill="FFFFFF"/>
          <w:lang w:bidi="ar"/>
        </w:rPr>
        <w:t>3.阶段检查主要内容</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8" w:firstLineChars="202"/>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线上线下混合式课程应基于慕课、专属在线课程（SPOC）或其他在线课程，运用适当的数字化教学工具，结合本校实际对校内课程进行改造，安排20%-50%的教学时间实施学生线上自主学习，与线下面授有机结合开展翻转课堂、混合式教学，打造在线课程与本校课堂教学相融合的混合式“金课”。线上线下混合式课程应具有可追溯的学生在线学习记录和线下互动数据。</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阶段检查建议标准如下：</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已开展线上学习并实施翻转课堂教学的项目评为“优秀”；</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已开展线上学习但未实施线下互动教学或者未开展线上学习但已实施线下互动教学的项目评为“良好”或者“合格”；</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不符合以上2点要求的评为“建议整改”。</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
          <w:bCs/>
          <w:kern w:val="0"/>
          <w:sz w:val="32"/>
          <w:szCs w:val="32"/>
          <w:shd w:val="clear" w:color="auto" w:fill="FFFFFF"/>
          <w:lang w:bidi="ar"/>
        </w:rPr>
      </w:pPr>
      <w:r>
        <w:rPr>
          <w:rFonts w:hint="eastAsia" w:ascii="方正仿宋_GBK" w:hAnsi="方正仿宋_GBK" w:eastAsia="方正仿宋_GBK" w:cs="方正仿宋_GBK"/>
          <w:b/>
          <w:bCs/>
          <w:kern w:val="0"/>
          <w:sz w:val="32"/>
          <w:szCs w:val="32"/>
          <w:shd w:val="clear" w:color="auto" w:fill="FFFFFF"/>
          <w:lang w:bidi="ar"/>
        </w:rPr>
        <w:t>4.阶段检查材料要求</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项目进展报告</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楷体_GBK" w:hAnsi="方正楷体_GBK" w:eastAsia="方正楷体_GBK" w:cs="方正楷体_GBK"/>
          <w:bCs/>
          <w:kern w:val="0"/>
          <w:sz w:val="32"/>
          <w:szCs w:val="32"/>
          <w:shd w:val="clear" w:color="auto" w:fill="FFFFFF"/>
          <w:lang w:bidi="ar"/>
        </w:rPr>
      </w:pPr>
      <w:r>
        <w:rPr>
          <w:rFonts w:hint="eastAsia" w:ascii="方正楷体_GBK" w:hAnsi="方正楷体_GBK" w:eastAsia="方正楷体_GBK" w:cs="方正楷体_GBK"/>
          <w:bCs/>
          <w:kern w:val="0"/>
          <w:sz w:val="32"/>
          <w:szCs w:val="32"/>
          <w:shd w:val="clear" w:color="auto" w:fill="FFFFFF"/>
          <w:lang w:bidi="ar"/>
        </w:rPr>
        <w:t>（四）社会实践课程</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
          <w:bCs/>
          <w:kern w:val="0"/>
          <w:sz w:val="32"/>
          <w:szCs w:val="32"/>
          <w:shd w:val="clear" w:color="auto" w:fill="FFFFFF"/>
          <w:lang w:bidi="ar"/>
        </w:rPr>
      </w:pPr>
      <w:r>
        <w:rPr>
          <w:rFonts w:hint="eastAsia" w:ascii="方正仿宋_GBK" w:hAnsi="方正仿宋_GBK" w:eastAsia="方正仿宋_GBK" w:cs="方正仿宋_GBK"/>
          <w:b/>
          <w:bCs/>
          <w:kern w:val="0"/>
          <w:sz w:val="32"/>
          <w:szCs w:val="32"/>
          <w:shd w:val="clear" w:color="auto" w:fill="FFFFFF"/>
          <w:lang w:bidi="ar"/>
        </w:rPr>
        <w:t>1.检查验收类型</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2020年度立项项目进行阶段检查。</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
          <w:bCs/>
          <w:kern w:val="0"/>
          <w:sz w:val="32"/>
          <w:szCs w:val="32"/>
          <w:shd w:val="clear" w:color="auto" w:fill="FFFFFF"/>
          <w:lang w:bidi="ar"/>
        </w:rPr>
      </w:pPr>
      <w:r>
        <w:rPr>
          <w:rFonts w:hint="eastAsia" w:ascii="方正仿宋_GBK" w:hAnsi="方正仿宋_GBK" w:eastAsia="方正仿宋_GBK" w:cs="方正仿宋_GBK"/>
          <w:b/>
          <w:bCs/>
          <w:kern w:val="0"/>
          <w:sz w:val="32"/>
          <w:szCs w:val="32"/>
          <w:shd w:val="clear" w:color="auto" w:fill="FFFFFF"/>
          <w:lang w:bidi="ar"/>
        </w:rPr>
        <w:t>2.检查验收方式</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委托各高校按照要求组织检查验收，安徽省网络课程学习中心组织专家对学校检查验收的结果进行认定。</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
          <w:bCs/>
          <w:kern w:val="0"/>
          <w:sz w:val="32"/>
          <w:szCs w:val="32"/>
          <w:shd w:val="clear" w:color="auto" w:fill="FFFFFF"/>
          <w:lang w:bidi="ar"/>
        </w:rPr>
      </w:pPr>
      <w:r>
        <w:rPr>
          <w:rFonts w:hint="eastAsia" w:ascii="方正仿宋_GBK" w:hAnsi="方正仿宋_GBK" w:eastAsia="方正仿宋_GBK" w:cs="方正仿宋_GBK"/>
          <w:b/>
          <w:bCs/>
          <w:kern w:val="0"/>
          <w:sz w:val="32"/>
          <w:szCs w:val="32"/>
          <w:shd w:val="clear" w:color="auto" w:fill="FFFFFF"/>
          <w:lang w:bidi="ar"/>
        </w:rPr>
        <w:t>3.阶段检查主要内容</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8" w:firstLineChars="202"/>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社会实践课程以培养学生综合能力为目标，通过“青年红色筑梦之旅”、“互联网＋”大学生创新创业大赛、创新创业和思想政治理论课社会实践等活动，推动思想政治教育、专业教育与社会服务紧密结合，培养学生认识社会、研究社会、理解社会、服务社会的意识和能力，建设社会实践一流课程。课程应为纳入人才培养方案的非实习、实训课程，配备理论指导教师，具有稳定的实践基地，学生70%以上学时深入基层，保证课程规范化和可持续发展。</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阶段检查建议标准如下：</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已开展教学内容重构并将理论教学与社会实践教学有机融合衔接的项目评为“优秀”；</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其他项目根据专家评审结果给予“良好”、“合格”、“建议整改”等结论。</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
          <w:bCs/>
          <w:kern w:val="0"/>
          <w:sz w:val="32"/>
          <w:szCs w:val="32"/>
          <w:shd w:val="clear" w:color="auto" w:fill="FFFFFF"/>
          <w:lang w:bidi="ar"/>
        </w:rPr>
      </w:pPr>
      <w:r>
        <w:rPr>
          <w:rFonts w:hint="eastAsia" w:ascii="方正仿宋_GBK" w:hAnsi="方正仿宋_GBK" w:eastAsia="方正仿宋_GBK" w:cs="方正仿宋_GBK"/>
          <w:b/>
          <w:bCs/>
          <w:kern w:val="0"/>
          <w:sz w:val="32"/>
          <w:szCs w:val="32"/>
          <w:shd w:val="clear" w:color="auto" w:fill="FFFFFF"/>
          <w:lang w:bidi="ar"/>
        </w:rPr>
        <w:t>4.阶段检查材料要求</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项目进展报告</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楷体_GBK" w:hAnsi="方正楷体_GBK" w:eastAsia="方正楷体_GBK" w:cs="方正楷体_GBK"/>
          <w:bCs/>
          <w:kern w:val="0"/>
          <w:sz w:val="32"/>
          <w:szCs w:val="32"/>
          <w:shd w:val="clear" w:color="auto" w:fill="FFFFFF"/>
          <w:lang w:bidi="ar"/>
        </w:rPr>
      </w:pPr>
      <w:r>
        <w:rPr>
          <w:rFonts w:hint="eastAsia" w:ascii="方正楷体_GBK" w:hAnsi="方正楷体_GBK" w:eastAsia="方正楷体_GBK" w:cs="方正楷体_GBK"/>
          <w:bCs/>
          <w:kern w:val="0"/>
          <w:sz w:val="32"/>
          <w:szCs w:val="32"/>
          <w:shd w:val="clear" w:color="auto" w:fill="FFFFFF"/>
          <w:lang w:bidi="ar"/>
        </w:rPr>
        <w:t>（五）虚拟仿真实验教学项目</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
          <w:bCs/>
          <w:kern w:val="0"/>
          <w:sz w:val="32"/>
          <w:szCs w:val="32"/>
          <w:shd w:val="clear" w:color="auto" w:fill="FFFFFF"/>
          <w:lang w:bidi="ar"/>
        </w:rPr>
      </w:pPr>
      <w:r>
        <w:rPr>
          <w:rFonts w:hint="eastAsia" w:ascii="方正仿宋_GBK" w:hAnsi="方正仿宋_GBK" w:eastAsia="方正仿宋_GBK" w:cs="方正仿宋_GBK"/>
          <w:b/>
          <w:bCs/>
          <w:kern w:val="0"/>
          <w:sz w:val="32"/>
          <w:szCs w:val="32"/>
          <w:shd w:val="clear" w:color="auto" w:fill="FFFFFF"/>
          <w:lang w:bidi="ar"/>
        </w:rPr>
        <w:t>1.检查验收类型</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2018年度延期项目和2019年度立项项目进行结题验收；2020年度立项项目进行阶段检查。</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
          <w:bCs/>
          <w:kern w:val="0"/>
          <w:sz w:val="32"/>
          <w:szCs w:val="32"/>
          <w:shd w:val="clear" w:color="auto" w:fill="FFFFFF"/>
          <w:lang w:bidi="ar"/>
        </w:rPr>
      </w:pPr>
      <w:r>
        <w:rPr>
          <w:rFonts w:hint="eastAsia" w:ascii="方正仿宋_GBK" w:hAnsi="方正仿宋_GBK" w:eastAsia="方正仿宋_GBK" w:cs="方正仿宋_GBK"/>
          <w:b/>
          <w:bCs/>
          <w:kern w:val="0"/>
          <w:sz w:val="32"/>
          <w:szCs w:val="32"/>
          <w:shd w:val="clear" w:color="auto" w:fill="FFFFFF"/>
          <w:lang w:bidi="ar"/>
        </w:rPr>
        <w:t>2.检查验收方式</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结题验收由安徽省网络课程学习中心组织专家进行线上评审；阶段检查委托各高校按照要求组织检查，安徽省网络课程学习中心组织专家对学校检查验收的结果进行认定。</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
          <w:bCs/>
          <w:kern w:val="0"/>
          <w:sz w:val="32"/>
          <w:szCs w:val="32"/>
          <w:shd w:val="clear" w:color="auto" w:fill="FFFFFF"/>
          <w:lang w:bidi="ar"/>
        </w:rPr>
      </w:pPr>
      <w:r>
        <w:rPr>
          <w:rFonts w:hint="eastAsia" w:ascii="方正仿宋_GBK" w:hAnsi="方正仿宋_GBK" w:eastAsia="方正仿宋_GBK" w:cs="方正仿宋_GBK"/>
          <w:b/>
          <w:bCs/>
          <w:kern w:val="0"/>
          <w:sz w:val="32"/>
          <w:szCs w:val="32"/>
          <w:shd w:val="clear" w:color="auto" w:fill="FFFFFF"/>
          <w:lang w:bidi="ar"/>
        </w:rPr>
        <w:t>3.结题验收主要内容</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参照国家虚拟仿真实验教学项目建设要求制定专家网络评审标准，对申报的虚拟仿真实验教学项目的教学内容、教学方法、教学效果、教学资源、共享服务等方面进行评价，并充分考虑网络使用用户的评价。</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项目视频资源内容应重点介绍实验教学项目的基本情况，包括实验名称、实验目的、实验环境、实验内容、实验要求、实验方法、实验步骤、实验注意事项等；</w:t>
      </w:r>
      <w:r>
        <w:rPr>
          <w:rFonts w:hint="eastAsia" w:ascii="方正仿宋_GBK" w:hAnsi="方正仿宋_GBK" w:eastAsia="方正仿宋_GBK" w:cs="方正仿宋_GBK"/>
          <w:color w:val="000000"/>
          <w:kern w:val="0"/>
          <w:sz w:val="32"/>
          <w:szCs w:val="32"/>
        </w:rPr>
        <w:t>应坚持“能实不虚”，支撑学生综合能力培养，至少满足2个课时的实验教学需求，学生实际参与的交互性实验操作步骤须不少于10步；应确保符合相关知识产权法律法规，可以完全对外公开服务；应依托网络平台，提供有效链接网址直接指向实验项目，且保持链接畅通可访问；应确保所承诺的并发数以内网络实验请求及时响应和对超过并发数的实验请求提供排队提示服务。</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具体结题验收标准如下：</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满足以下条件之一可以评为“优秀”：</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已入选国家虚拟仿真实验教学项目的；</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已入选安徽省推荐申报国家虚拟仿真实验教学项目的；</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已入选省内教育部直属高校（合肥工业大学）或其他中央部门（单位）所属高校（中国科学技术大学）推荐申报国家虚拟仿真实验教学项目的。</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其他项目根据专家网络评审结果给予“良好”、“合格”、“建议延期”等结论。</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
          <w:bCs/>
          <w:kern w:val="0"/>
          <w:sz w:val="32"/>
          <w:szCs w:val="32"/>
          <w:shd w:val="clear" w:color="auto" w:fill="FFFFFF"/>
          <w:lang w:bidi="ar"/>
        </w:rPr>
      </w:pPr>
      <w:r>
        <w:rPr>
          <w:rFonts w:hint="eastAsia" w:ascii="方正仿宋_GBK" w:hAnsi="方正仿宋_GBK" w:eastAsia="方正仿宋_GBK" w:cs="方正仿宋_GBK"/>
          <w:b/>
          <w:bCs/>
          <w:kern w:val="0"/>
          <w:sz w:val="32"/>
          <w:szCs w:val="32"/>
          <w:shd w:val="clear" w:color="auto" w:fill="FFFFFF"/>
          <w:lang w:bidi="ar"/>
        </w:rPr>
        <w:t>4.结题验收材料要求</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（1）项目结题报告</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（2）项目基本信息表（附件2）（需学校教务处盖章；表中</w:t>
      </w:r>
      <w:r>
        <w:rPr>
          <w:rFonts w:hint="eastAsia" w:ascii="方正仿宋_GBK" w:hAnsi="方正仿宋_GBK" w:eastAsia="方正仿宋_GBK" w:cs="方正仿宋_GBK"/>
          <w:b/>
          <w:bCs/>
          <w:kern w:val="0"/>
          <w:sz w:val="32"/>
          <w:szCs w:val="32"/>
          <w:shd w:val="clear" w:color="auto" w:fill="FFFFFF"/>
          <w:lang w:bidi="ar"/>
        </w:rPr>
        <w:t>需明确提供项目URL链接且保证链接畅通可访问，以便专家评审</w:t>
      </w:r>
      <w:r>
        <w:rPr>
          <w:rFonts w:hint="eastAsia" w:ascii="方正仿宋_GBK" w:hAnsi="方正仿宋_GBK" w:eastAsia="方正仿宋_GBK" w:cs="方正仿宋_GBK"/>
          <w:bCs/>
          <w:kern w:val="0"/>
          <w:sz w:val="32"/>
          <w:szCs w:val="32"/>
          <w:shd w:val="clear" w:color="auto" w:fill="FFFFFF"/>
          <w:lang w:bidi="ar"/>
        </w:rPr>
        <w:t>，否则建议专家直接给予“建议延期”；符合“优秀”标准的课程无需提供）</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（3）申请延期的项目提交延期报告。</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
          <w:bCs/>
          <w:kern w:val="0"/>
          <w:sz w:val="32"/>
          <w:szCs w:val="32"/>
          <w:shd w:val="clear" w:color="auto" w:fill="FFFFFF"/>
          <w:lang w:bidi="ar"/>
        </w:rPr>
      </w:pPr>
      <w:r>
        <w:rPr>
          <w:rFonts w:hint="eastAsia" w:ascii="方正仿宋_GBK" w:hAnsi="方正仿宋_GBK" w:eastAsia="方正仿宋_GBK" w:cs="方正仿宋_GBK"/>
          <w:b/>
          <w:bCs/>
          <w:kern w:val="0"/>
          <w:sz w:val="32"/>
          <w:szCs w:val="32"/>
          <w:shd w:val="clear" w:color="auto" w:fill="FFFFFF"/>
          <w:lang w:bidi="ar"/>
        </w:rPr>
        <w:t>5.阶段检查主要内容</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阶段检查以督促项目建设及运营为目的，建议检查标准如下：</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已完成项目内容建设并提供网络教学服务的项目评为“优秀”；</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其他项目根据专家评审结果给予“良好”、“合格”、“建议整改”等结论。</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
          <w:bCs/>
          <w:kern w:val="0"/>
          <w:sz w:val="32"/>
          <w:szCs w:val="32"/>
          <w:shd w:val="clear" w:color="auto" w:fill="FFFFFF"/>
          <w:lang w:bidi="ar"/>
        </w:rPr>
      </w:pPr>
      <w:r>
        <w:rPr>
          <w:rFonts w:hint="eastAsia" w:ascii="方正仿宋_GBK" w:hAnsi="方正仿宋_GBK" w:eastAsia="方正仿宋_GBK" w:cs="方正仿宋_GBK"/>
          <w:b/>
          <w:bCs/>
          <w:kern w:val="0"/>
          <w:sz w:val="32"/>
          <w:szCs w:val="32"/>
          <w:shd w:val="clear" w:color="auto" w:fill="FFFFFF"/>
          <w:lang w:bidi="ar"/>
        </w:rPr>
        <w:t>6.阶段检查材料要求</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8" w:firstLineChars="202"/>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项目进展报告</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楷体_GBK" w:hAnsi="方正楷体_GBK" w:eastAsia="方正楷体_GBK" w:cs="方正楷体_GBK"/>
          <w:bCs/>
          <w:kern w:val="0"/>
          <w:sz w:val="32"/>
          <w:szCs w:val="32"/>
          <w:shd w:val="clear" w:color="auto" w:fill="FFFFFF"/>
          <w:lang w:bidi="ar"/>
        </w:rPr>
      </w:pPr>
      <w:r>
        <w:rPr>
          <w:rFonts w:hint="eastAsia" w:ascii="方正楷体_GBK" w:hAnsi="方正楷体_GBK" w:eastAsia="方正楷体_GBK" w:cs="方正楷体_GBK"/>
          <w:bCs/>
          <w:kern w:val="0"/>
          <w:sz w:val="32"/>
          <w:szCs w:val="32"/>
          <w:shd w:val="clear" w:color="auto" w:fill="FFFFFF"/>
          <w:lang w:bidi="ar"/>
        </w:rPr>
        <w:t>（六）课程思政示范课程</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
          <w:bCs/>
          <w:kern w:val="0"/>
          <w:sz w:val="32"/>
          <w:szCs w:val="32"/>
          <w:shd w:val="clear" w:color="auto" w:fill="FFFFFF"/>
          <w:lang w:bidi="ar"/>
        </w:rPr>
      </w:pPr>
      <w:r>
        <w:rPr>
          <w:rFonts w:hint="eastAsia" w:ascii="方正仿宋_GBK" w:hAnsi="方正仿宋_GBK" w:eastAsia="方正仿宋_GBK" w:cs="方正仿宋_GBK"/>
          <w:b/>
          <w:bCs/>
          <w:kern w:val="0"/>
          <w:sz w:val="32"/>
          <w:szCs w:val="32"/>
          <w:shd w:val="clear" w:color="auto" w:fill="FFFFFF"/>
          <w:lang w:bidi="ar"/>
        </w:rPr>
        <w:t>1.检查验收类型</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2020年度立项项目进行阶段检查。</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
          <w:bCs/>
          <w:kern w:val="0"/>
          <w:sz w:val="32"/>
          <w:szCs w:val="32"/>
          <w:shd w:val="clear" w:color="auto" w:fill="FFFFFF"/>
          <w:lang w:bidi="ar"/>
        </w:rPr>
      </w:pPr>
      <w:r>
        <w:rPr>
          <w:rFonts w:hint="eastAsia" w:ascii="方正仿宋_GBK" w:hAnsi="方正仿宋_GBK" w:eastAsia="方正仿宋_GBK" w:cs="方正仿宋_GBK"/>
          <w:b/>
          <w:bCs/>
          <w:kern w:val="0"/>
          <w:sz w:val="32"/>
          <w:szCs w:val="32"/>
          <w:shd w:val="clear" w:color="auto" w:fill="FFFFFF"/>
          <w:lang w:bidi="ar"/>
        </w:rPr>
        <w:t>2.检查验收方式</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阶段检查委托各高校按照要求组织检查，安徽省网络课程学习中心组织专家对学校检查验收的结果进行认定。</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
          <w:bCs/>
          <w:kern w:val="0"/>
          <w:sz w:val="32"/>
          <w:szCs w:val="32"/>
          <w:shd w:val="clear" w:color="auto" w:fill="FFFFFF"/>
          <w:lang w:bidi="ar"/>
        </w:rPr>
      </w:pPr>
      <w:r>
        <w:rPr>
          <w:rFonts w:hint="eastAsia" w:ascii="方正仿宋_GBK" w:hAnsi="方正仿宋_GBK" w:eastAsia="方正仿宋_GBK" w:cs="方正仿宋_GBK"/>
          <w:b/>
          <w:bCs/>
          <w:kern w:val="0"/>
          <w:sz w:val="32"/>
          <w:szCs w:val="32"/>
          <w:shd w:val="clear" w:color="auto" w:fill="FFFFFF"/>
          <w:lang w:bidi="ar"/>
        </w:rPr>
        <w:t>3.阶段检查主要内容</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课程思政示范课程应准确把握“坚定学生理想信念，教育学生爱党、爱国、爱社会主义、爱人民、爱集体”主线，结合所在学科专业、所属课程类型的育人要求和特点，深入挖掘蕴含的思政教育资源，优化课程思政内容供给。注重课程思政建设模式创新，教学内容体现思想性、前沿性与时代性，教学方法体现先进性、互动性与针对性，形成可供同类课程借鉴共享的经验、成果和模式。</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阶段检查建议标准如下：</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已结合课程专业特点，将思政教育有机融入课程教学全过程的项目评为“优秀”；</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其他项目根据专家评审结果给予“良好”、“合格”、“建议整改”等结论。</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
          <w:bCs/>
          <w:kern w:val="0"/>
          <w:sz w:val="32"/>
          <w:szCs w:val="32"/>
          <w:shd w:val="clear" w:color="auto" w:fill="FFFFFF"/>
          <w:lang w:bidi="ar"/>
        </w:rPr>
      </w:pPr>
      <w:r>
        <w:rPr>
          <w:rFonts w:hint="eastAsia" w:ascii="方正仿宋_GBK" w:hAnsi="方正仿宋_GBK" w:eastAsia="方正仿宋_GBK" w:cs="方正仿宋_GBK"/>
          <w:b/>
          <w:bCs/>
          <w:kern w:val="0"/>
          <w:sz w:val="32"/>
          <w:szCs w:val="32"/>
          <w:shd w:val="clear" w:color="auto" w:fill="FFFFFF"/>
          <w:lang w:bidi="ar"/>
        </w:rPr>
        <w:t>4.阶段检查材料要求</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8" w:firstLineChars="202"/>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项目进展报告</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楷体_GBK" w:hAnsi="方正楷体_GBK" w:eastAsia="方正楷体_GBK" w:cs="方正楷体_GBK"/>
          <w:bCs/>
          <w:kern w:val="0"/>
          <w:sz w:val="32"/>
          <w:szCs w:val="32"/>
          <w:shd w:val="clear" w:color="auto" w:fill="FFFFFF"/>
          <w:lang w:bidi="ar"/>
        </w:rPr>
      </w:pPr>
      <w:r>
        <w:rPr>
          <w:rFonts w:hint="eastAsia" w:ascii="方正楷体_GBK" w:hAnsi="方正楷体_GBK" w:eastAsia="方正楷体_GBK" w:cs="方正楷体_GBK"/>
          <w:bCs/>
          <w:kern w:val="0"/>
          <w:sz w:val="32"/>
          <w:szCs w:val="32"/>
          <w:shd w:val="clear" w:color="auto" w:fill="FFFFFF"/>
          <w:lang w:bidi="ar"/>
        </w:rPr>
        <w:t>（七）精品开放课程、智慧课堂项目</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8" w:firstLineChars="202"/>
        <w:jc w:val="left"/>
        <w:textAlignment w:val="auto"/>
        <w:rPr>
          <w:rFonts w:hint="eastAsia" w:ascii="方正仿宋_GBK" w:hAnsi="方正仿宋_GBK" w:eastAsia="方正仿宋_GBK" w:cs="方正仿宋_GBK"/>
          <w:b/>
          <w:bCs w:val="0"/>
          <w:kern w:val="0"/>
          <w:sz w:val="32"/>
          <w:szCs w:val="32"/>
          <w:shd w:val="clear" w:color="auto" w:fill="FFFFFF"/>
          <w:lang w:bidi="ar"/>
        </w:rPr>
      </w:pPr>
      <w:r>
        <w:rPr>
          <w:rFonts w:hint="eastAsia" w:ascii="方正仿宋_GBK" w:hAnsi="方正仿宋_GBK" w:eastAsia="方正仿宋_GBK" w:cs="方正仿宋_GBK"/>
          <w:b/>
          <w:bCs w:val="0"/>
          <w:kern w:val="0"/>
          <w:sz w:val="32"/>
          <w:szCs w:val="32"/>
          <w:shd w:val="clear" w:color="auto" w:fill="FFFFFF"/>
          <w:lang w:bidi="ar"/>
        </w:rPr>
        <w:t>1.检查验收类型</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8" w:firstLineChars="202"/>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对全部延期未结项的精品开放课程（含精品资源共享课程和精品视频公开课程）和智慧课堂项目进行结题验收。</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8" w:firstLineChars="202"/>
        <w:jc w:val="left"/>
        <w:textAlignment w:val="auto"/>
        <w:rPr>
          <w:rFonts w:hint="eastAsia" w:ascii="方正仿宋_GBK" w:hAnsi="方正仿宋_GBK" w:eastAsia="方正仿宋_GBK" w:cs="方正仿宋_GBK"/>
          <w:b/>
          <w:bCs w:val="0"/>
          <w:kern w:val="0"/>
          <w:sz w:val="32"/>
          <w:szCs w:val="32"/>
          <w:shd w:val="clear" w:color="auto" w:fill="FFFFFF"/>
          <w:lang w:bidi="ar"/>
        </w:rPr>
      </w:pPr>
      <w:r>
        <w:rPr>
          <w:rFonts w:hint="eastAsia" w:ascii="方正仿宋_GBK" w:hAnsi="方正仿宋_GBK" w:eastAsia="方正仿宋_GBK" w:cs="方正仿宋_GBK"/>
          <w:b/>
          <w:bCs w:val="0"/>
          <w:kern w:val="0"/>
          <w:sz w:val="32"/>
          <w:szCs w:val="32"/>
          <w:shd w:val="clear" w:color="auto" w:fill="FFFFFF"/>
          <w:lang w:bidi="ar"/>
        </w:rPr>
        <w:t>2.检查验收方式</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8" w:firstLineChars="202"/>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委托各高校按照要求组织检查验收，安徽省网络课程学习中心组织专家对学校检查验收的结果进行认定。</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8" w:firstLineChars="202"/>
        <w:jc w:val="left"/>
        <w:textAlignment w:val="auto"/>
        <w:rPr>
          <w:rFonts w:hint="eastAsia" w:ascii="方正仿宋_GBK" w:hAnsi="方正仿宋_GBK" w:eastAsia="方正仿宋_GBK" w:cs="方正仿宋_GBK"/>
          <w:b/>
          <w:bCs w:val="0"/>
          <w:kern w:val="0"/>
          <w:sz w:val="32"/>
          <w:szCs w:val="32"/>
          <w:shd w:val="clear" w:color="auto" w:fill="FFFFFF"/>
          <w:lang w:bidi="ar"/>
        </w:rPr>
      </w:pPr>
      <w:r>
        <w:rPr>
          <w:rFonts w:hint="eastAsia" w:ascii="方正仿宋_GBK" w:hAnsi="方正仿宋_GBK" w:eastAsia="方正仿宋_GBK" w:cs="方正仿宋_GBK"/>
          <w:b/>
          <w:bCs w:val="0"/>
          <w:kern w:val="0"/>
          <w:sz w:val="32"/>
          <w:szCs w:val="32"/>
          <w:shd w:val="clear" w:color="auto" w:fill="FFFFFF"/>
          <w:lang w:bidi="ar"/>
        </w:rPr>
        <w:t>3.检查验收主要内容</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8" w:firstLineChars="202"/>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各校结题验收按照立项当年申报指南中的要求，对照项目任务书，根据完成情况分别给予“优秀”、“良好”、“合格”、“同意延期”等自查结论。</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8" w:firstLineChars="202"/>
        <w:jc w:val="left"/>
        <w:textAlignment w:val="auto"/>
        <w:rPr>
          <w:rFonts w:hint="eastAsia" w:ascii="方正仿宋_GBK" w:hAnsi="方正仿宋_GBK" w:eastAsia="方正仿宋_GBK" w:cs="方正仿宋_GBK"/>
          <w:b/>
          <w:bCs w:val="0"/>
          <w:kern w:val="0"/>
          <w:sz w:val="32"/>
          <w:szCs w:val="32"/>
          <w:shd w:val="clear" w:color="auto" w:fill="FFFFFF"/>
          <w:lang w:bidi="ar"/>
        </w:rPr>
      </w:pPr>
      <w:r>
        <w:rPr>
          <w:rFonts w:hint="eastAsia" w:ascii="方正仿宋_GBK" w:hAnsi="方正仿宋_GBK" w:eastAsia="方正仿宋_GBK" w:cs="方正仿宋_GBK"/>
          <w:b/>
          <w:bCs w:val="0"/>
          <w:kern w:val="0"/>
          <w:sz w:val="32"/>
          <w:szCs w:val="32"/>
          <w:shd w:val="clear" w:color="auto" w:fill="FFFFFF"/>
          <w:lang w:bidi="ar"/>
        </w:rPr>
        <w:t>4.材料要求</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8" w:firstLineChars="202"/>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项目结题报告</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楷体_GBK" w:hAnsi="方正楷体_GBK" w:eastAsia="方正楷体_GBK" w:cs="方正楷体_GBK"/>
          <w:bCs/>
          <w:kern w:val="0"/>
          <w:sz w:val="32"/>
          <w:szCs w:val="32"/>
          <w:shd w:val="clear" w:color="auto" w:fill="FFFFFF"/>
          <w:lang w:bidi="ar"/>
        </w:rPr>
      </w:pPr>
      <w:r>
        <w:rPr>
          <w:rFonts w:hint="eastAsia" w:ascii="方正楷体_GBK" w:hAnsi="方正楷体_GBK" w:eastAsia="方正楷体_GBK" w:cs="方正楷体_GBK"/>
          <w:bCs/>
          <w:kern w:val="0"/>
          <w:sz w:val="32"/>
          <w:szCs w:val="32"/>
          <w:shd w:val="clear" w:color="auto" w:fill="FFFFFF"/>
          <w:lang w:bidi="ar"/>
        </w:rPr>
        <w:t>（八）教学示范课项目（“双基”建设项目）</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
          <w:bCs/>
          <w:kern w:val="0"/>
          <w:sz w:val="32"/>
          <w:szCs w:val="32"/>
          <w:shd w:val="clear" w:color="auto" w:fill="FFFFFF"/>
          <w:lang w:bidi="ar"/>
        </w:rPr>
      </w:pPr>
      <w:r>
        <w:rPr>
          <w:rFonts w:hint="eastAsia" w:ascii="方正仿宋_GBK" w:hAnsi="方正仿宋_GBK" w:eastAsia="方正仿宋_GBK" w:cs="方正仿宋_GBK"/>
          <w:b/>
          <w:bCs/>
          <w:kern w:val="0"/>
          <w:sz w:val="32"/>
          <w:szCs w:val="32"/>
          <w:shd w:val="clear" w:color="auto" w:fill="FFFFFF"/>
          <w:lang w:bidi="ar"/>
        </w:rPr>
        <w:t>1.检查验收类型</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2020年度立项项目进行阶段检查。</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
          <w:bCs/>
          <w:kern w:val="0"/>
          <w:sz w:val="32"/>
          <w:szCs w:val="32"/>
          <w:shd w:val="clear" w:color="auto" w:fill="FFFFFF"/>
          <w:lang w:bidi="ar"/>
        </w:rPr>
      </w:pPr>
      <w:r>
        <w:rPr>
          <w:rFonts w:hint="eastAsia" w:ascii="方正仿宋_GBK" w:hAnsi="方正仿宋_GBK" w:eastAsia="方正仿宋_GBK" w:cs="方正仿宋_GBK"/>
          <w:b/>
          <w:bCs/>
          <w:kern w:val="0"/>
          <w:sz w:val="32"/>
          <w:szCs w:val="32"/>
          <w:shd w:val="clear" w:color="auto" w:fill="FFFFFF"/>
          <w:lang w:bidi="ar"/>
        </w:rPr>
        <w:t>2.检查验收方式</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阶段检查委托各高校按照要求组织检查，安徽省网络课程学习中心组织专家对学校检查验收的结果进行认定。</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
          <w:bCs/>
          <w:kern w:val="0"/>
          <w:sz w:val="32"/>
          <w:szCs w:val="32"/>
          <w:shd w:val="clear" w:color="auto" w:fill="FFFFFF"/>
          <w:lang w:bidi="ar"/>
        </w:rPr>
      </w:pPr>
      <w:r>
        <w:rPr>
          <w:rFonts w:hint="eastAsia" w:ascii="方正仿宋_GBK" w:hAnsi="方正仿宋_GBK" w:eastAsia="方正仿宋_GBK" w:cs="方正仿宋_GBK"/>
          <w:b/>
          <w:bCs/>
          <w:kern w:val="0"/>
          <w:sz w:val="32"/>
          <w:szCs w:val="32"/>
          <w:shd w:val="clear" w:color="auto" w:fill="FFFFFF"/>
          <w:lang w:bidi="ar"/>
        </w:rPr>
        <w:t>3.阶段检查主要内容</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8" w:firstLineChars="202"/>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各校对照“双基”标准化和示范建设标准，以及项目任务书，根据完成情况分别给予“优秀”、“良好”、“合格”、“建议整改”等自查结论。</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
          <w:bCs/>
          <w:kern w:val="0"/>
          <w:sz w:val="32"/>
          <w:szCs w:val="32"/>
          <w:shd w:val="clear" w:color="auto" w:fill="FFFFFF"/>
          <w:lang w:bidi="ar"/>
        </w:rPr>
      </w:pPr>
      <w:r>
        <w:rPr>
          <w:rFonts w:hint="eastAsia" w:ascii="方正仿宋_GBK" w:hAnsi="方正仿宋_GBK" w:eastAsia="方正仿宋_GBK" w:cs="方正仿宋_GBK"/>
          <w:b/>
          <w:bCs/>
          <w:kern w:val="0"/>
          <w:sz w:val="32"/>
          <w:szCs w:val="32"/>
          <w:shd w:val="clear" w:color="auto" w:fill="FFFFFF"/>
          <w:lang w:bidi="ar"/>
        </w:rPr>
        <w:t>4.阶段检查材料要求</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8" w:firstLineChars="202"/>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项目进展报告</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三、时间安排与材料报送</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2021年3月21日至4月10日，各高校登录安徽省教育厅高教处网站（http://jyt.ah.gov.cn/gaojiaochu），把课程建设类项目检查验收材料上传到“安徽省高等学校质量工程项目管理信息系统”（http://202.38.95.115/QRMIS），课程建设类项目的进展报告、结题报告模板见《安徽省教育厅关于开展高等学校质量工程项目年度检查验收工作的通知》（皖教秘高〔2022〕34号）要求，其他材料模板见附件。所有材料请按照要求盖章后扫描为PDF版上传。</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黑体_GBK" w:hAnsi="方正黑体_GBK" w:eastAsia="方正黑体_GBK" w:cs="方正黑体_GBK"/>
          <w:bCs/>
          <w:kern w:val="0"/>
          <w:sz w:val="32"/>
          <w:szCs w:val="32"/>
          <w:shd w:val="clear" w:color="auto" w:fill="FFFFFF"/>
          <w:lang w:bidi="ar"/>
        </w:rPr>
      </w:pPr>
      <w:r>
        <w:rPr>
          <w:rFonts w:hint="eastAsia" w:ascii="方正黑体_GBK" w:hAnsi="方正黑体_GBK" w:eastAsia="方正黑体_GBK" w:cs="方正黑体_GBK"/>
          <w:bCs/>
          <w:kern w:val="0"/>
          <w:sz w:val="32"/>
          <w:szCs w:val="32"/>
          <w:shd w:val="clear" w:color="auto" w:fill="FFFFFF"/>
          <w:lang w:bidi="ar"/>
        </w:rPr>
        <w:t>四、相关要求</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1. 线下课程（原精品线下开放课程）、线上线下混合式课程、社会实践课程、课程思政示范课程、精品开放课程、智慧课堂、教学示范课项目由各高校按照要求组织专家检查验收，安徽省网络课程学习中心组织专家对学校检查验收的结果进行认定。其他课程建设类项目，各高校须给出学校审核意见及盖章，可不再组织专家检查验收，由安徽省网络课程学习中心另行组织专家进行评审。</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2.项目负责人要根据项目进展情况，认真填写项目进展或结题报告书，如实反映项目建设成果。所有项目检查验收应以建设任务书（省级项目申报指南）作为项目执行、过程检查和验收的主要依据。报告中数据应准确无误，典型事例应真实具体，文字材料应言简意赅。</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黑体_GBK" w:hAnsi="方正黑体_GBK" w:eastAsia="方正黑体_GBK" w:cs="方正黑体_GBK"/>
          <w:bCs/>
          <w:kern w:val="0"/>
          <w:sz w:val="32"/>
          <w:szCs w:val="32"/>
          <w:shd w:val="clear" w:color="auto" w:fill="FFFFFF"/>
          <w:lang w:bidi="ar"/>
        </w:rPr>
      </w:pPr>
      <w:r>
        <w:rPr>
          <w:rFonts w:hint="eastAsia" w:ascii="方正黑体_GBK" w:hAnsi="方正黑体_GBK" w:eastAsia="方正黑体_GBK" w:cs="方正黑体_GBK"/>
          <w:bCs/>
          <w:kern w:val="0"/>
          <w:sz w:val="32"/>
          <w:szCs w:val="32"/>
          <w:shd w:val="clear" w:color="auto" w:fill="FFFFFF"/>
          <w:lang w:bidi="ar"/>
        </w:rPr>
        <w:t>五、联系方式</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eastAsia="zh-CN" w:bidi="ar"/>
        </w:rPr>
      </w:pPr>
      <w:r>
        <w:rPr>
          <w:rFonts w:hint="eastAsia" w:ascii="方正仿宋_GBK" w:hAnsi="方正仿宋_GBK" w:eastAsia="方正仿宋_GBK" w:cs="方正仿宋_GBK"/>
          <w:bCs/>
          <w:kern w:val="0"/>
          <w:sz w:val="32"/>
          <w:szCs w:val="32"/>
          <w:shd w:val="clear" w:color="auto" w:fill="FFFFFF"/>
          <w:lang w:eastAsia="zh-CN" w:bidi="ar"/>
        </w:rPr>
        <w:t>省教育厅联系人：任雯君、陈涛，</w:t>
      </w:r>
      <w:r>
        <w:rPr>
          <w:rFonts w:hint="eastAsia" w:ascii="方正仿宋_GBK" w:hAnsi="方正仿宋_GBK" w:eastAsia="方正仿宋_GBK" w:cs="方正仿宋_GBK"/>
          <w:bCs/>
          <w:kern w:val="0"/>
          <w:sz w:val="32"/>
          <w:szCs w:val="32"/>
          <w:shd w:val="clear" w:color="auto" w:fill="FFFFFF"/>
          <w:lang w:bidi="ar"/>
        </w:rPr>
        <w:t>安徽省高校数字图书馆联系人：毛杰利</w:t>
      </w:r>
      <w:r>
        <w:rPr>
          <w:rFonts w:hint="eastAsia" w:ascii="方正仿宋_GBK" w:hAnsi="方正仿宋_GBK" w:eastAsia="方正仿宋_GBK" w:cs="方正仿宋_GBK"/>
          <w:bCs/>
          <w:kern w:val="0"/>
          <w:sz w:val="32"/>
          <w:szCs w:val="32"/>
          <w:shd w:val="clear" w:color="auto" w:fill="FFFFFF"/>
          <w:lang w:eastAsia="zh-CN" w:bidi="ar"/>
        </w:rPr>
        <w:t>，</w:t>
      </w:r>
      <w:r>
        <w:rPr>
          <w:rFonts w:hint="eastAsia" w:ascii="方正仿宋_GBK" w:hAnsi="方正仿宋_GBK" w:eastAsia="方正仿宋_GBK" w:cs="方正仿宋_GBK"/>
          <w:bCs/>
          <w:kern w:val="0"/>
          <w:sz w:val="32"/>
          <w:szCs w:val="32"/>
          <w:shd w:val="clear" w:color="auto" w:fill="FFFFFF"/>
          <w:lang w:bidi="ar"/>
        </w:rPr>
        <w:t>联系电话：0551-63602330-608</w:t>
      </w:r>
      <w:r>
        <w:rPr>
          <w:rFonts w:hint="eastAsia" w:ascii="方正仿宋_GBK" w:hAnsi="方正仿宋_GBK" w:eastAsia="方正仿宋_GBK" w:cs="方正仿宋_GBK"/>
          <w:bCs/>
          <w:kern w:val="0"/>
          <w:sz w:val="32"/>
          <w:szCs w:val="32"/>
          <w:shd w:val="clear" w:color="auto" w:fill="FFFFFF"/>
          <w:lang w:eastAsia="zh-CN" w:bidi="ar"/>
        </w:rPr>
        <w:t>。</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附件</w:t>
      </w:r>
      <w:r>
        <w:rPr>
          <w:rFonts w:hint="eastAsia" w:ascii="方正仿宋_GBK" w:hAnsi="方正仿宋_GBK" w:cs="方正仿宋_GBK"/>
          <w:bCs/>
          <w:kern w:val="0"/>
          <w:sz w:val="32"/>
          <w:szCs w:val="32"/>
          <w:shd w:val="clear" w:color="auto" w:fill="FFFFFF"/>
          <w:lang w:eastAsia="zh-CN" w:bidi="ar"/>
        </w:rPr>
        <w:t>：</w:t>
      </w:r>
      <w:r>
        <w:rPr>
          <w:rFonts w:hint="eastAsia" w:ascii="方正仿宋_GBK" w:hAnsi="方正仿宋_GBK" w:eastAsia="方正仿宋_GBK" w:cs="方正仿宋_GBK"/>
          <w:bCs/>
          <w:kern w:val="0"/>
          <w:sz w:val="32"/>
          <w:szCs w:val="32"/>
          <w:shd w:val="clear" w:color="auto" w:fill="FFFFFF"/>
          <w:lang w:bidi="ar"/>
        </w:rPr>
        <w:t>1</w:t>
      </w:r>
      <w:r>
        <w:rPr>
          <w:rFonts w:hint="default" w:ascii="方正仿宋_GBK" w:hAnsi="方正仿宋_GBK" w:cs="方正仿宋_GBK"/>
          <w:bCs/>
          <w:kern w:val="0"/>
          <w:sz w:val="32"/>
          <w:szCs w:val="32"/>
          <w:shd w:val="clear" w:color="auto" w:fill="FFFFFF"/>
          <w:lang w:val="en" w:bidi="ar"/>
        </w:rPr>
        <w:t>.</w:t>
      </w:r>
      <w:r>
        <w:rPr>
          <w:rFonts w:hint="eastAsia" w:ascii="方正仿宋_GBK" w:hAnsi="方正仿宋_GBK" w:eastAsia="方正仿宋_GBK" w:cs="方正仿宋_GBK"/>
          <w:bCs/>
          <w:kern w:val="0"/>
          <w:sz w:val="32"/>
          <w:szCs w:val="32"/>
          <w:shd w:val="clear" w:color="auto" w:fill="FFFFFF"/>
          <w:lang w:bidi="ar"/>
        </w:rPr>
        <w:t>课程数据信息表</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1580" w:firstLineChars="500"/>
        <w:jc w:val="left"/>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bidi="ar"/>
        </w:rPr>
        <w:t>2</w:t>
      </w:r>
      <w:r>
        <w:rPr>
          <w:rFonts w:hint="default" w:ascii="方正仿宋_GBK" w:hAnsi="方正仿宋_GBK" w:cs="方正仿宋_GBK"/>
          <w:bCs/>
          <w:kern w:val="0"/>
          <w:sz w:val="32"/>
          <w:szCs w:val="32"/>
          <w:shd w:val="clear" w:color="auto" w:fill="FFFFFF"/>
          <w:lang w:val="en" w:bidi="ar"/>
        </w:rPr>
        <w:t>.</w:t>
      </w:r>
      <w:r>
        <w:rPr>
          <w:rFonts w:hint="eastAsia" w:ascii="方正仿宋_GBK" w:hAnsi="方正仿宋_GBK" w:eastAsia="方正仿宋_GBK" w:cs="方正仿宋_GBK"/>
          <w:bCs/>
          <w:kern w:val="0"/>
          <w:sz w:val="32"/>
          <w:szCs w:val="32"/>
          <w:shd w:val="clear" w:color="auto" w:fill="FFFFFF"/>
          <w:lang w:bidi="ar"/>
        </w:rPr>
        <w:t>项目基本信息表</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left"/>
        <w:textAlignment w:val="auto"/>
        <w:rPr>
          <w:rFonts w:hint="eastAsia" w:ascii="方正仿宋_GBK" w:hAnsi="方正仿宋_GBK" w:eastAsia="方正仿宋_GBK" w:cs="方正仿宋_GBK"/>
          <w:bCs/>
          <w:kern w:val="0"/>
          <w:sz w:val="32"/>
          <w:szCs w:val="32"/>
          <w:shd w:val="clear" w:color="auto" w:fill="FFFFFF"/>
          <w:lang w:bidi="ar"/>
        </w:rPr>
      </w:pP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center"/>
        <w:textAlignment w:val="auto"/>
        <w:rPr>
          <w:rFonts w:hint="eastAsia" w:ascii="方正仿宋_GBK" w:hAnsi="方正仿宋_GBK" w:eastAsia="方正仿宋_GBK" w:cs="方正仿宋_GBK"/>
          <w:bCs/>
          <w:kern w:val="0"/>
          <w:sz w:val="32"/>
          <w:szCs w:val="32"/>
          <w:shd w:val="clear" w:color="auto" w:fill="FFFFFF"/>
          <w:lang w:bidi="ar"/>
        </w:rPr>
      </w:pPr>
      <w:r>
        <w:rPr>
          <w:rFonts w:hint="eastAsia" w:ascii="方正仿宋_GBK" w:hAnsi="方正仿宋_GBK" w:eastAsia="方正仿宋_GBK" w:cs="方正仿宋_GBK"/>
          <w:bCs/>
          <w:kern w:val="0"/>
          <w:sz w:val="32"/>
          <w:szCs w:val="32"/>
          <w:shd w:val="clear" w:color="auto" w:fill="FFFFFF"/>
          <w:lang w:val="en-US" w:eastAsia="zh-CN" w:bidi="ar"/>
        </w:rPr>
        <w:t xml:space="preserve">                        </w:t>
      </w:r>
      <w:r>
        <w:rPr>
          <w:rFonts w:hint="eastAsia" w:ascii="方正仿宋_GBK" w:hAnsi="方正仿宋_GBK" w:eastAsia="方正仿宋_GBK" w:cs="方正仿宋_GBK"/>
          <w:bCs/>
          <w:kern w:val="0"/>
          <w:sz w:val="32"/>
          <w:szCs w:val="32"/>
          <w:shd w:val="clear" w:color="auto" w:fill="FFFFFF"/>
          <w:lang w:bidi="ar"/>
        </w:rPr>
        <w:t>安徽省教育厅</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32" w:firstLineChars="200"/>
        <w:jc w:val="center"/>
        <w:textAlignment w:val="auto"/>
        <w:rPr>
          <w:rFonts w:hint="eastAsia" w:ascii="方正仿宋_GBK" w:hAnsi="方正仿宋_GBK" w:eastAsia="方正仿宋_GBK" w:cs="方正仿宋_GBK"/>
          <w:bCs/>
          <w:kern w:val="0"/>
          <w:sz w:val="32"/>
          <w:szCs w:val="32"/>
          <w:shd w:val="clear" w:color="auto" w:fill="FFFFFF"/>
          <w:lang w:bidi="ar"/>
        </w:rPr>
      </w:pPr>
      <w:r>
        <w:rPr>
          <w:rFonts w:hint="default" w:ascii="方正仿宋_GBK" w:hAnsi="方正仿宋_GBK" w:cs="方正仿宋_GBK"/>
          <w:bCs/>
          <w:kern w:val="0"/>
          <w:sz w:val="32"/>
          <w:szCs w:val="32"/>
          <w:shd w:val="clear" w:color="auto" w:fill="FFFFFF"/>
          <w:lang w:val="en" w:bidi="ar"/>
        </w:rPr>
        <w:t xml:space="preserve">                       </w:t>
      </w:r>
      <w:r>
        <w:rPr>
          <w:rFonts w:hint="eastAsia" w:ascii="方正仿宋_GBK" w:hAnsi="方正仿宋_GBK" w:eastAsia="方正仿宋_GBK" w:cs="方正仿宋_GBK"/>
          <w:bCs/>
          <w:kern w:val="0"/>
          <w:sz w:val="32"/>
          <w:szCs w:val="32"/>
          <w:shd w:val="clear" w:color="auto" w:fill="FFFFFF"/>
          <w:lang w:bidi="ar"/>
        </w:rPr>
        <w:t>2022年3月2</w:t>
      </w:r>
      <w:r>
        <w:rPr>
          <w:rFonts w:hint="default" w:ascii="方正仿宋_GBK" w:hAnsi="方正仿宋_GBK" w:cs="方正仿宋_GBK"/>
          <w:bCs/>
          <w:kern w:val="0"/>
          <w:sz w:val="32"/>
          <w:szCs w:val="32"/>
          <w:shd w:val="clear" w:color="auto" w:fill="FFFFFF"/>
          <w:lang w:val="en" w:bidi="ar"/>
        </w:rPr>
        <w:t>2</w:t>
      </w:r>
      <w:r>
        <w:rPr>
          <w:rFonts w:hint="eastAsia" w:ascii="方正仿宋_GBK" w:hAnsi="方正仿宋_GBK" w:eastAsia="方正仿宋_GBK" w:cs="方正仿宋_GBK"/>
          <w:bCs/>
          <w:kern w:val="0"/>
          <w:sz w:val="32"/>
          <w:szCs w:val="32"/>
          <w:shd w:val="clear" w:color="auto" w:fill="FFFFFF"/>
          <w:lang w:bidi="ar"/>
        </w:rPr>
        <w:t>日</w:t>
      </w:r>
    </w:p>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仿宋" w:hAnsi="仿宋" w:eastAsia="仿宋" w:cs="方正小标宋_GBK"/>
          <w:bCs/>
          <w:kern w:val="0"/>
          <w:sz w:val="28"/>
          <w:szCs w:val="28"/>
          <w:shd w:val="clear" w:color="auto" w:fill="FFFFFF"/>
          <w:lang w:bidi="ar"/>
        </w:rPr>
      </w:pPr>
      <w:r>
        <w:rPr>
          <w:rFonts w:hint="default" w:ascii="仿宋" w:hAnsi="仿宋" w:eastAsia="仿宋" w:cs="方正小标宋_GBK"/>
          <w:bCs/>
          <w:kern w:val="0"/>
          <w:sz w:val="28"/>
          <w:szCs w:val="28"/>
          <w:shd w:val="clear" w:color="auto" w:fill="FFFFFF"/>
          <w:lang w:val="en" w:bidi="ar"/>
        </w:rPr>
        <w:t xml:space="preserve">    </w:t>
      </w:r>
      <w:r>
        <w:rPr>
          <w:rFonts w:hint="eastAsia" w:ascii="方正仿宋_GBK" w:hAnsi="方正仿宋_GBK" w:eastAsia="方正仿宋_GBK" w:cs="方正仿宋_GBK"/>
          <w:bCs/>
          <w:kern w:val="0"/>
          <w:sz w:val="32"/>
          <w:szCs w:val="32"/>
          <w:shd w:val="clear" w:color="auto" w:fill="FFFFFF"/>
          <w:lang w:val="en" w:eastAsia="zh-CN" w:bidi="ar"/>
        </w:rPr>
        <w:t>（此件主动公开）</w:t>
      </w:r>
      <w:r>
        <w:rPr>
          <w:rFonts w:hint="eastAsia" w:ascii="方正仿宋_GBK" w:hAnsi="方正仿宋_GBK" w:eastAsia="方正仿宋_GBK" w:cs="方正仿宋_GBK"/>
          <w:bCs/>
          <w:kern w:val="0"/>
          <w:sz w:val="32"/>
          <w:szCs w:val="32"/>
          <w:shd w:val="clear" w:color="auto" w:fill="FFFFFF"/>
          <w:lang w:bidi="ar"/>
        </w:rPr>
        <w:br w:type="page"/>
      </w:r>
    </w:p>
    <w:p>
      <w:pPr>
        <w:keepNext w:val="0"/>
        <w:keepLines w:val="0"/>
        <w:pageBreakBefore w:val="0"/>
        <w:kinsoku/>
        <w:wordWrap/>
        <w:overflowPunct/>
        <w:topLinePunct w:val="0"/>
        <w:autoSpaceDE/>
        <w:autoSpaceDN/>
        <w:bidi w:val="0"/>
        <w:adjustRightInd/>
        <w:snapToGrid/>
        <w:spacing w:line="600" w:lineRule="exact"/>
        <w:textAlignment w:val="auto"/>
        <w:rPr>
          <w:rFonts w:ascii="宋体" w:hAnsi="宋体" w:eastAsia="宋体" w:cs="宋体"/>
          <w:kern w:val="0"/>
          <w:sz w:val="22"/>
        </w:rPr>
      </w:pPr>
      <w:bookmarkStart w:id="1" w:name="_GoBack"/>
      <w:r>
        <w:rPr>
          <w:rFonts w:hint="eastAsia" w:ascii="仿宋_GB2312" w:hAnsi="华文中宋" w:eastAsia="仿宋_GB2312" w:cs="宋体"/>
          <w:bCs/>
          <w:color w:val="000000"/>
          <w:kern w:val="0"/>
          <w:sz w:val="28"/>
          <w:szCs w:val="28"/>
        </w:rPr>
        <w:t>附件1</w:t>
      </w:r>
    </w:p>
    <w:p>
      <w:pPr>
        <w:keepNext w:val="0"/>
        <w:keepLines w:val="0"/>
        <w:pageBreakBefore w:val="0"/>
        <w:kinsoku/>
        <w:wordWrap/>
        <w:overflowPunct/>
        <w:topLinePunct w:val="0"/>
        <w:autoSpaceDE/>
        <w:autoSpaceDN/>
        <w:bidi w:val="0"/>
        <w:adjustRightInd/>
        <w:snapToGrid/>
        <w:spacing w:line="600" w:lineRule="exact"/>
        <w:jc w:val="center"/>
        <w:textAlignment w:val="auto"/>
        <w:rPr>
          <w:rFonts w:ascii="黑体" w:hAnsi="黑体" w:eastAsia="黑体" w:cs="宋体"/>
          <w:kern w:val="0"/>
          <w:sz w:val="36"/>
          <w:szCs w:val="36"/>
        </w:rPr>
      </w:pPr>
      <w:r>
        <w:rPr>
          <w:rFonts w:hint="eastAsia" w:ascii="黑体" w:hAnsi="黑体" w:eastAsia="黑体" w:cs="宋体"/>
          <w:kern w:val="0"/>
          <w:sz w:val="36"/>
          <w:szCs w:val="36"/>
        </w:rPr>
        <w:t>课程数据信息表</w:t>
      </w:r>
    </w:p>
    <w:p>
      <w:pPr>
        <w:keepNext w:val="0"/>
        <w:keepLines w:val="0"/>
        <w:pageBreakBefore w:val="0"/>
        <w:kinsoku/>
        <w:wordWrap/>
        <w:overflowPunct/>
        <w:topLinePunct w:val="0"/>
        <w:autoSpaceDE/>
        <w:autoSpaceDN/>
        <w:bidi w:val="0"/>
        <w:adjustRightInd/>
        <w:snapToGrid/>
        <w:spacing w:line="600" w:lineRule="exact"/>
        <w:jc w:val="center"/>
        <w:textAlignment w:val="auto"/>
        <w:rPr>
          <w:rFonts w:ascii="黑体" w:hAnsi="黑体" w:eastAsia="黑体" w:cs="宋体"/>
          <w:kern w:val="0"/>
          <w:sz w:val="36"/>
          <w:szCs w:val="36"/>
        </w:rPr>
      </w:pPr>
    </w:p>
    <w:tbl>
      <w:tblPr>
        <w:tblStyle w:val="5"/>
        <w:tblW w:w="0" w:type="auto"/>
        <w:tblInd w:w="-43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2328"/>
        <w:gridCol w:w="1842"/>
        <w:gridCol w:w="1550"/>
        <w:gridCol w:w="18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913"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b/>
                <w:bCs/>
                <w:kern w:val="0"/>
                <w:sz w:val="22"/>
              </w:rPr>
            </w:pPr>
            <w:r>
              <w:rPr>
                <w:rFonts w:hint="eastAsia" w:ascii="宋体" w:hAnsi="宋体" w:eastAsia="宋体" w:cs="宋体"/>
                <w:b/>
                <w:bCs/>
                <w:kern w:val="0"/>
                <w:sz w:val="22"/>
              </w:rPr>
              <w:t>基本信息</w:t>
            </w:r>
          </w:p>
        </w:tc>
        <w:tc>
          <w:tcPr>
            <w:tcW w:w="2328"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课程名称</w:t>
            </w:r>
          </w:p>
        </w:tc>
        <w:tc>
          <w:tcPr>
            <w:tcW w:w="5257" w:type="dxa"/>
            <w:gridSpan w:val="3"/>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91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b/>
                <w:bCs/>
                <w:kern w:val="0"/>
                <w:sz w:val="22"/>
              </w:rPr>
            </w:pPr>
          </w:p>
        </w:tc>
        <w:tc>
          <w:tcPr>
            <w:tcW w:w="2328"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学校名称</w:t>
            </w:r>
          </w:p>
        </w:tc>
        <w:tc>
          <w:tcPr>
            <w:tcW w:w="5257" w:type="dxa"/>
            <w:gridSpan w:val="3"/>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91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b/>
                <w:bCs/>
                <w:kern w:val="0"/>
                <w:sz w:val="22"/>
              </w:rPr>
            </w:pPr>
          </w:p>
        </w:tc>
        <w:tc>
          <w:tcPr>
            <w:tcW w:w="2328"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课程负责人</w:t>
            </w:r>
          </w:p>
        </w:tc>
        <w:tc>
          <w:tcPr>
            <w:tcW w:w="5257" w:type="dxa"/>
            <w:gridSpan w:val="3"/>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91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b/>
                <w:bCs/>
                <w:kern w:val="0"/>
                <w:sz w:val="22"/>
              </w:rPr>
            </w:pPr>
          </w:p>
        </w:tc>
        <w:tc>
          <w:tcPr>
            <w:tcW w:w="2328"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课程上线平台名称：</w:t>
            </w:r>
          </w:p>
        </w:tc>
        <w:tc>
          <w:tcPr>
            <w:tcW w:w="5257" w:type="dxa"/>
            <w:gridSpan w:val="3"/>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1913"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b/>
                <w:bCs/>
                <w:kern w:val="0"/>
                <w:sz w:val="22"/>
              </w:rPr>
            </w:pPr>
            <w:r>
              <w:rPr>
                <w:rFonts w:hint="eastAsia" w:ascii="宋体" w:hAnsi="宋体" w:eastAsia="宋体" w:cs="宋体"/>
                <w:b/>
                <w:bCs/>
                <w:kern w:val="0"/>
                <w:sz w:val="22"/>
              </w:rPr>
              <w:t>课程开设</w:t>
            </w:r>
            <w:r>
              <w:rPr>
                <w:rFonts w:hint="eastAsia" w:ascii="宋体" w:hAnsi="宋体" w:eastAsia="宋体" w:cs="宋体"/>
                <w:b/>
                <w:bCs/>
                <w:kern w:val="0"/>
                <w:sz w:val="22"/>
              </w:rPr>
              <w:br w:type="textWrapping"/>
            </w:r>
            <w:r>
              <w:rPr>
                <w:rFonts w:hint="eastAsia" w:ascii="宋体" w:hAnsi="宋体" w:eastAsia="宋体" w:cs="宋体"/>
                <w:b/>
                <w:bCs/>
                <w:kern w:val="0"/>
                <w:sz w:val="22"/>
              </w:rPr>
              <w:t>情况</w:t>
            </w:r>
          </w:p>
        </w:tc>
        <w:tc>
          <w:tcPr>
            <w:tcW w:w="2328"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2"/>
              </w:rPr>
            </w:pPr>
            <w:r>
              <w:rPr>
                <w:rFonts w:hint="eastAsia" w:ascii="宋体" w:hAnsi="宋体" w:eastAsia="宋体" w:cs="宋体"/>
                <w:kern w:val="0"/>
                <w:sz w:val="22"/>
              </w:rPr>
              <w:t>开设学期</w:t>
            </w:r>
          </w:p>
        </w:tc>
        <w:tc>
          <w:tcPr>
            <w:tcW w:w="1842"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2"/>
              </w:rPr>
            </w:pPr>
            <w:r>
              <w:rPr>
                <w:rFonts w:hint="eastAsia" w:ascii="宋体" w:hAnsi="宋体" w:eastAsia="宋体" w:cs="宋体"/>
                <w:kern w:val="0"/>
                <w:sz w:val="22"/>
              </w:rPr>
              <w:t>起止时间</w:t>
            </w:r>
          </w:p>
        </w:tc>
        <w:tc>
          <w:tcPr>
            <w:tcW w:w="1550"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2"/>
              </w:rPr>
            </w:pPr>
            <w:r>
              <w:rPr>
                <w:rFonts w:hint="eastAsia" w:ascii="宋体" w:hAnsi="宋体" w:eastAsia="宋体" w:cs="宋体"/>
                <w:kern w:val="0"/>
                <w:sz w:val="22"/>
              </w:rPr>
              <w:t>选课人数</w:t>
            </w:r>
          </w:p>
        </w:tc>
        <w:tc>
          <w:tcPr>
            <w:tcW w:w="1865"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2"/>
              </w:rPr>
            </w:pPr>
            <w:r>
              <w:rPr>
                <w:rFonts w:hint="eastAsia" w:ascii="宋体" w:hAnsi="宋体" w:eastAsia="宋体" w:cs="宋体"/>
                <w:kern w:val="0"/>
                <w:sz w:val="22"/>
              </w:rPr>
              <w:t>课程链接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91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b/>
                <w:bCs/>
                <w:kern w:val="0"/>
                <w:sz w:val="22"/>
              </w:rPr>
            </w:pPr>
          </w:p>
        </w:tc>
        <w:tc>
          <w:tcPr>
            <w:tcW w:w="2328"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2"/>
              </w:rPr>
            </w:pPr>
            <w:r>
              <w:rPr>
                <w:rFonts w:hint="eastAsia" w:ascii="宋体" w:hAnsi="宋体" w:eastAsia="宋体" w:cs="宋体"/>
                <w:kern w:val="0"/>
                <w:sz w:val="22"/>
              </w:rPr>
              <w:t>1</w:t>
            </w:r>
          </w:p>
        </w:tc>
        <w:tc>
          <w:tcPr>
            <w:tcW w:w="1842"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　</w:t>
            </w:r>
          </w:p>
        </w:tc>
        <w:tc>
          <w:tcPr>
            <w:tcW w:w="1550"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　</w:t>
            </w:r>
          </w:p>
        </w:tc>
        <w:tc>
          <w:tcPr>
            <w:tcW w:w="1865"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1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b/>
                <w:bCs/>
                <w:kern w:val="0"/>
                <w:sz w:val="22"/>
              </w:rPr>
            </w:pPr>
          </w:p>
        </w:tc>
        <w:tc>
          <w:tcPr>
            <w:tcW w:w="2328"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2"/>
              </w:rPr>
            </w:pPr>
            <w:r>
              <w:rPr>
                <w:rFonts w:hint="eastAsia" w:ascii="宋体" w:hAnsi="宋体" w:eastAsia="宋体" w:cs="宋体"/>
                <w:kern w:val="0"/>
                <w:sz w:val="22"/>
              </w:rPr>
              <w:t>2</w:t>
            </w:r>
          </w:p>
        </w:tc>
        <w:tc>
          <w:tcPr>
            <w:tcW w:w="1842"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　　</w:t>
            </w:r>
          </w:p>
        </w:tc>
        <w:tc>
          <w:tcPr>
            <w:tcW w:w="1550"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　　</w:t>
            </w:r>
          </w:p>
        </w:tc>
        <w:tc>
          <w:tcPr>
            <w:tcW w:w="1865"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191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b/>
                <w:bCs/>
                <w:kern w:val="0"/>
                <w:sz w:val="22"/>
              </w:rPr>
            </w:pPr>
          </w:p>
        </w:tc>
        <w:tc>
          <w:tcPr>
            <w:tcW w:w="2328"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2"/>
              </w:rPr>
            </w:pPr>
            <w:r>
              <w:rPr>
                <w:rFonts w:ascii="宋体" w:hAnsi="宋体" w:eastAsia="宋体" w:cs="宋体"/>
                <w:kern w:val="0"/>
                <w:sz w:val="22"/>
              </w:rPr>
              <w:t>…</w:t>
            </w:r>
          </w:p>
        </w:tc>
        <w:tc>
          <w:tcPr>
            <w:tcW w:w="1842"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　</w:t>
            </w:r>
          </w:p>
        </w:tc>
        <w:tc>
          <w:tcPr>
            <w:tcW w:w="1550"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　</w:t>
            </w:r>
          </w:p>
        </w:tc>
        <w:tc>
          <w:tcPr>
            <w:tcW w:w="1865"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913"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b/>
                <w:bCs/>
                <w:kern w:val="0"/>
                <w:sz w:val="22"/>
              </w:rPr>
            </w:pPr>
            <w:r>
              <w:rPr>
                <w:rFonts w:hint="eastAsia" w:ascii="宋体" w:hAnsi="宋体" w:eastAsia="宋体" w:cs="宋体"/>
                <w:b/>
                <w:bCs/>
                <w:kern w:val="0"/>
                <w:sz w:val="22"/>
              </w:rPr>
              <w:t>第（ ）、（ ）期课程资源与学习信息</w:t>
            </w:r>
          </w:p>
        </w:tc>
        <w:tc>
          <w:tcPr>
            <w:tcW w:w="2328"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授课视频</w:t>
            </w:r>
          </w:p>
        </w:tc>
        <w:tc>
          <w:tcPr>
            <w:tcW w:w="1842"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总数量（个）</w:t>
            </w:r>
          </w:p>
        </w:tc>
        <w:tc>
          <w:tcPr>
            <w:tcW w:w="1550"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　</w:t>
            </w:r>
          </w:p>
        </w:tc>
        <w:tc>
          <w:tcPr>
            <w:tcW w:w="1865"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91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b/>
                <w:bCs/>
                <w:kern w:val="0"/>
                <w:sz w:val="22"/>
              </w:rPr>
            </w:pPr>
          </w:p>
        </w:tc>
        <w:tc>
          <w:tcPr>
            <w:tcW w:w="2328"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p>
        </w:tc>
        <w:tc>
          <w:tcPr>
            <w:tcW w:w="1842"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总时长（分钟）</w:t>
            </w:r>
          </w:p>
        </w:tc>
        <w:tc>
          <w:tcPr>
            <w:tcW w:w="1550"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　</w:t>
            </w:r>
          </w:p>
        </w:tc>
        <w:tc>
          <w:tcPr>
            <w:tcW w:w="1865"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91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b/>
                <w:bCs/>
                <w:kern w:val="0"/>
                <w:sz w:val="22"/>
              </w:rPr>
            </w:pPr>
          </w:p>
        </w:tc>
        <w:tc>
          <w:tcPr>
            <w:tcW w:w="2328"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非视频资源</w:t>
            </w:r>
          </w:p>
        </w:tc>
        <w:tc>
          <w:tcPr>
            <w:tcW w:w="1842"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数量（个）</w:t>
            </w:r>
          </w:p>
        </w:tc>
        <w:tc>
          <w:tcPr>
            <w:tcW w:w="1550"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　</w:t>
            </w:r>
          </w:p>
        </w:tc>
        <w:tc>
          <w:tcPr>
            <w:tcW w:w="1865"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91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b/>
                <w:bCs/>
                <w:kern w:val="0"/>
                <w:sz w:val="22"/>
              </w:rPr>
            </w:pPr>
          </w:p>
        </w:tc>
        <w:tc>
          <w:tcPr>
            <w:tcW w:w="2328"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课程公告</w:t>
            </w:r>
          </w:p>
        </w:tc>
        <w:tc>
          <w:tcPr>
            <w:tcW w:w="1842"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数量（次）</w:t>
            </w:r>
          </w:p>
        </w:tc>
        <w:tc>
          <w:tcPr>
            <w:tcW w:w="1550"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　</w:t>
            </w:r>
          </w:p>
        </w:tc>
        <w:tc>
          <w:tcPr>
            <w:tcW w:w="1865"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91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b/>
                <w:bCs/>
                <w:kern w:val="0"/>
                <w:sz w:val="22"/>
              </w:rPr>
            </w:pPr>
          </w:p>
        </w:tc>
        <w:tc>
          <w:tcPr>
            <w:tcW w:w="2328"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测验和作业</w:t>
            </w:r>
          </w:p>
        </w:tc>
        <w:tc>
          <w:tcPr>
            <w:tcW w:w="1842"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总次数（次）</w:t>
            </w:r>
          </w:p>
        </w:tc>
        <w:tc>
          <w:tcPr>
            <w:tcW w:w="1550"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　</w:t>
            </w:r>
          </w:p>
        </w:tc>
        <w:tc>
          <w:tcPr>
            <w:tcW w:w="1865"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91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b/>
                <w:bCs/>
                <w:kern w:val="0"/>
                <w:sz w:val="22"/>
              </w:rPr>
            </w:pPr>
          </w:p>
        </w:tc>
        <w:tc>
          <w:tcPr>
            <w:tcW w:w="2328"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p>
        </w:tc>
        <w:tc>
          <w:tcPr>
            <w:tcW w:w="1842"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习题总数（道）</w:t>
            </w:r>
          </w:p>
        </w:tc>
        <w:tc>
          <w:tcPr>
            <w:tcW w:w="1550"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　</w:t>
            </w:r>
          </w:p>
        </w:tc>
        <w:tc>
          <w:tcPr>
            <w:tcW w:w="1865"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91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b/>
                <w:bCs/>
                <w:kern w:val="0"/>
                <w:sz w:val="22"/>
              </w:rPr>
            </w:pPr>
          </w:p>
        </w:tc>
        <w:tc>
          <w:tcPr>
            <w:tcW w:w="2328"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p>
        </w:tc>
        <w:tc>
          <w:tcPr>
            <w:tcW w:w="1842"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参与人数（人）</w:t>
            </w:r>
          </w:p>
        </w:tc>
        <w:tc>
          <w:tcPr>
            <w:tcW w:w="1550"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　</w:t>
            </w:r>
          </w:p>
        </w:tc>
        <w:tc>
          <w:tcPr>
            <w:tcW w:w="1865"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91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b/>
                <w:bCs/>
                <w:kern w:val="0"/>
                <w:sz w:val="22"/>
              </w:rPr>
            </w:pPr>
          </w:p>
        </w:tc>
        <w:tc>
          <w:tcPr>
            <w:tcW w:w="2328"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互动交流情况</w:t>
            </w:r>
          </w:p>
        </w:tc>
        <w:tc>
          <w:tcPr>
            <w:tcW w:w="1842"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发帖总数（帖）</w:t>
            </w:r>
          </w:p>
        </w:tc>
        <w:tc>
          <w:tcPr>
            <w:tcW w:w="1550"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　</w:t>
            </w:r>
          </w:p>
        </w:tc>
        <w:tc>
          <w:tcPr>
            <w:tcW w:w="1865"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91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b/>
                <w:bCs/>
                <w:kern w:val="0"/>
                <w:sz w:val="22"/>
              </w:rPr>
            </w:pPr>
          </w:p>
        </w:tc>
        <w:tc>
          <w:tcPr>
            <w:tcW w:w="2328"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p>
        </w:tc>
        <w:tc>
          <w:tcPr>
            <w:tcW w:w="1842"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教师发帖数（帖）</w:t>
            </w:r>
          </w:p>
        </w:tc>
        <w:tc>
          <w:tcPr>
            <w:tcW w:w="1550"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　</w:t>
            </w:r>
          </w:p>
        </w:tc>
        <w:tc>
          <w:tcPr>
            <w:tcW w:w="1865"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91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b/>
                <w:bCs/>
                <w:kern w:val="0"/>
                <w:sz w:val="22"/>
              </w:rPr>
            </w:pPr>
          </w:p>
        </w:tc>
        <w:tc>
          <w:tcPr>
            <w:tcW w:w="2328"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p>
        </w:tc>
        <w:tc>
          <w:tcPr>
            <w:tcW w:w="1842"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参与互动人数（人）</w:t>
            </w:r>
          </w:p>
        </w:tc>
        <w:tc>
          <w:tcPr>
            <w:tcW w:w="1550"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　</w:t>
            </w:r>
          </w:p>
        </w:tc>
        <w:tc>
          <w:tcPr>
            <w:tcW w:w="1865"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191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b/>
                <w:bCs/>
                <w:kern w:val="0"/>
                <w:sz w:val="22"/>
              </w:rPr>
            </w:pPr>
          </w:p>
        </w:tc>
        <w:tc>
          <w:tcPr>
            <w:tcW w:w="2328"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考试</w:t>
            </w:r>
          </w:p>
        </w:tc>
        <w:tc>
          <w:tcPr>
            <w:tcW w:w="1842"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次数（次）</w:t>
            </w:r>
          </w:p>
        </w:tc>
        <w:tc>
          <w:tcPr>
            <w:tcW w:w="1550"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　</w:t>
            </w:r>
          </w:p>
        </w:tc>
        <w:tc>
          <w:tcPr>
            <w:tcW w:w="1865"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191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b/>
                <w:bCs/>
                <w:kern w:val="0"/>
                <w:sz w:val="22"/>
              </w:rPr>
            </w:pPr>
          </w:p>
        </w:tc>
        <w:tc>
          <w:tcPr>
            <w:tcW w:w="2328"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p>
        </w:tc>
        <w:tc>
          <w:tcPr>
            <w:tcW w:w="1842"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试题总数（题）</w:t>
            </w:r>
          </w:p>
        </w:tc>
        <w:tc>
          <w:tcPr>
            <w:tcW w:w="1550"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　</w:t>
            </w:r>
          </w:p>
        </w:tc>
        <w:tc>
          <w:tcPr>
            <w:tcW w:w="1865"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191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b/>
                <w:bCs/>
                <w:kern w:val="0"/>
                <w:sz w:val="22"/>
              </w:rPr>
            </w:pPr>
          </w:p>
        </w:tc>
        <w:tc>
          <w:tcPr>
            <w:tcW w:w="2328"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p>
        </w:tc>
        <w:tc>
          <w:tcPr>
            <w:tcW w:w="1842"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参与人数（人）</w:t>
            </w:r>
          </w:p>
        </w:tc>
        <w:tc>
          <w:tcPr>
            <w:tcW w:w="1550"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　</w:t>
            </w:r>
          </w:p>
        </w:tc>
        <w:tc>
          <w:tcPr>
            <w:tcW w:w="1865"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9498" w:type="dxa"/>
            <w:gridSpan w:val="5"/>
            <w:noWrap w:val="0"/>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Times New Roman" w:hAnsi="Times New Roman" w:eastAsia="仿宋_GB2312" w:cs="Times New Roman"/>
                <w:sz w:val="28"/>
                <w:szCs w:val="28"/>
              </w:rPr>
            </w:pPr>
            <w:r>
              <w:rPr>
                <w:rFonts w:ascii="Times New Roman" w:hAnsi="Times New Roman" w:eastAsia="黑体" w:cs="Times New Roman"/>
                <w:bCs/>
                <w:kern w:val="0"/>
                <w:sz w:val="28"/>
                <w:szCs w:val="28"/>
              </w:rPr>
              <w:t>课程平台单位承诺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6" w:hRule="atLeast"/>
        </w:trPr>
        <w:tc>
          <w:tcPr>
            <w:tcW w:w="9498" w:type="dxa"/>
            <w:gridSpan w:val="5"/>
            <w:noWrap w:val="0"/>
            <w:vAlign w:val="center"/>
          </w:tcPr>
          <w:p>
            <w:pPr>
              <w:keepNext w:val="0"/>
              <w:keepLines w:val="0"/>
              <w:pageBreakBefore w:val="0"/>
              <w:kinsoku/>
              <w:wordWrap/>
              <w:overflowPunct/>
              <w:topLinePunct w:val="0"/>
              <w:autoSpaceDE/>
              <w:autoSpaceDN/>
              <w:bidi w:val="0"/>
              <w:adjustRightInd/>
              <w:snapToGrid/>
              <w:spacing w:line="600" w:lineRule="exact"/>
              <w:ind w:firstLine="432" w:firstLineChars="200"/>
              <w:textAlignment w:val="auto"/>
              <w:rPr>
                <w:rFonts w:ascii="Times New Roman" w:hAnsi="Times New Roman" w:eastAsia="仿宋_GB2312" w:cs="Times New Roman"/>
                <w:sz w:val="22"/>
              </w:rPr>
            </w:pPr>
            <w:r>
              <w:rPr>
                <w:rFonts w:ascii="Times New Roman" w:hAnsi="Times New Roman" w:eastAsia="仿宋_GB2312" w:cs="Times New Roman"/>
                <w:sz w:val="22"/>
              </w:rPr>
              <w:t>本单位已认真填写并检查此表格中的数据，保证内容真实准确；</w:t>
            </w:r>
          </w:p>
          <w:p>
            <w:pPr>
              <w:keepNext w:val="0"/>
              <w:keepLines w:val="0"/>
              <w:pageBreakBefore w:val="0"/>
              <w:kinsoku/>
              <w:wordWrap/>
              <w:overflowPunct/>
              <w:topLinePunct w:val="0"/>
              <w:autoSpaceDE/>
              <w:autoSpaceDN/>
              <w:bidi w:val="0"/>
              <w:adjustRightInd/>
              <w:snapToGrid/>
              <w:spacing w:line="600" w:lineRule="exact"/>
              <w:ind w:firstLine="432" w:firstLineChars="200"/>
              <w:textAlignment w:val="auto"/>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                               </w:t>
            </w:r>
          </w:p>
          <w:p>
            <w:pPr>
              <w:keepNext w:val="0"/>
              <w:keepLines w:val="0"/>
              <w:pageBreakBefore w:val="0"/>
              <w:kinsoku/>
              <w:wordWrap/>
              <w:overflowPunct/>
              <w:topLinePunct w:val="0"/>
              <w:autoSpaceDE/>
              <w:autoSpaceDN/>
              <w:bidi w:val="0"/>
              <w:adjustRightInd/>
              <w:snapToGrid/>
              <w:spacing w:line="600" w:lineRule="exact"/>
              <w:ind w:firstLine="4752" w:firstLineChars="2200"/>
              <w:textAlignment w:val="auto"/>
              <w:rPr>
                <w:rFonts w:ascii="Times New Roman" w:hAnsi="Times New Roman" w:eastAsia="仿宋_GB2312" w:cs="Times New Roman"/>
                <w:sz w:val="22"/>
              </w:rPr>
            </w:pPr>
            <w:r>
              <w:rPr>
                <w:rFonts w:ascii="Times New Roman" w:hAnsi="Times New Roman" w:eastAsia="仿宋_GB2312" w:cs="Times New Roman"/>
                <w:sz w:val="22"/>
              </w:rPr>
              <w:t>课程平台单位（公章）：</w:t>
            </w:r>
          </w:p>
          <w:p>
            <w:pPr>
              <w:keepNext w:val="0"/>
              <w:keepLines w:val="0"/>
              <w:pageBreakBefore w:val="0"/>
              <w:kinsoku/>
              <w:wordWrap/>
              <w:overflowPunct/>
              <w:topLinePunct w:val="0"/>
              <w:autoSpaceDE/>
              <w:autoSpaceDN/>
              <w:bidi w:val="0"/>
              <w:adjustRightInd/>
              <w:snapToGrid/>
              <w:spacing w:line="600" w:lineRule="exact"/>
              <w:ind w:firstLine="5400" w:firstLineChars="2500"/>
              <w:textAlignment w:val="auto"/>
              <w:rPr>
                <w:rFonts w:ascii="Times New Roman" w:hAnsi="Times New Roman" w:eastAsia="仿宋_GB2312" w:cs="Times New Roman"/>
                <w:sz w:val="22"/>
              </w:rPr>
            </w:pPr>
            <w:r>
              <w:rPr>
                <w:rFonts w:hint="eastAsia" w:ascii="Times New Roman" w:hAnsi="Times New Roman" w:eastAsia="仿宋_GB2312" w:cs="Times New Roman"/>
                <w:sz w:val="22"/>
              </w:rPr>
              <w:t xml:space="preserve">年 </w:t>
            </w:r>
            <w:r>
              <w:rPr>
                <w:rFonts w:ascii="Times New Roman" w:hAnsi="Times New Roman" w:eastAsia="仿宋_GB2312" w:cs="Times New Roman"/>
                <w:sz w:val="22"/>
              </w:rPr>
              <w:t xml:space="preserve"> </w:t>
            </w:r>
            <w:r>
              <w:rPr>
                <w:rFonts w:hint="eastAsia" w:ascii="Times New Roman" w:hAnsi="Times New Roman" w:eastAsia="仿宋_GB2312" w:cs="Times New Roman"/>
                <w:sz w:val="22"/>
              </w:rPr>
              <w:t xml:space="preserve">月 </w:t>
            </w:r>
            <w:r>
              <w:rPr>
                <w:rFonts w:ascii="Times New Roman" w:hAnsi="Times New Roman" w:eastAsia="仿宋_GB2312" w:cs="Times New Roman"/>
                <w:sz w:val="22"/>
              </w:rPr>
              <w:t xml:space="preserve"> </w:t>
            </w:r>
            <w:r>
              <w:rPr>
                <w:rFonts w:hint="eastAsia" w:ascii="Times New Roman" w:hAnsi="Times New Roman" w:eastAsia="仿宋_GB2312" w:cs="Times New Roman"/>
                <w:sz w:val="22"/>
              </w:rPr>
              <w:t>日</w:t>
            </w:r>
          </w:p>
        </w:tc>
      </w:tr>
    </w:tbl>
    <w:p>
      <w:pPr>
        <w:keepNext w:val="0"/>
        <w:keepLines w:val="0"/>
        <w:pageBreakBefore w:val="0"/>
        <w:kinsoku/>
        <w:wordWrap/>
        <w:overflowPunct/>
        <w:topLinePunct w:val="0"/>
        <w:autoSpaceDE/>
        <w:autoSpaceDN/>
        <w:bidi w:val="0"/>
        <w:adjustRightInd/>
        <w:snapToGrid/>
        <w:spacing w:line="600" w:lineRule="exact"/>
        <w:ind w:firstLine="552" w:firstLineChars="200"/>
        <w:textAlignment w:val="auto"/>
        <w:rPr>
          <w:rFonts w:ascii="仿宋_GB2312" w:hAnsi="Times New Roman" w:eastAsia="仿宋_GB2312" w:cs="Times New Roman"/>
          <w:sz w:val="28"/>
          <w:szCs w:val="28"/>
        </w:rPr>
      </w:pPr>
      <w:r>
        <w:rPr>
          <w:rFonts w:hint="eastAsia" w:ascii="仿宋_GB2312" w:hAnsi="Times New Roman" w:eastAsia="仿宋_GB2312" w:cs="Times New Roman"/>
          <w:sz w:val="28"/>
          <w:szCs w:val="28"/>
        </w:rPr>
        <w:t>填表说明：</w:t>
      </w:r>
    </w:p>
    <w:p>
      <w:pPr>
        <w:keepNext w:val="0"/>
        <w:keepLines w:val="0"/>
        <w:pageBreakBefore w:val="0"/>
        <w:kinsoku/>
        <w:wordWrap/>
        <w:overflowPunct/>
        <w:topLinePunct w:val="0"/>
        <w:autoSpaceDE/>
        <w:autoSpaceDN/>
        <w:bidi w:val="0"/>
        <w:adjustRightInd/>
        <w:snapToGrid/>
        <w:spacing w:line="600" w:lineRule="exact"/>
        <w:ind w:firstLine="552" w:firstLineChars="200"/>
        <w:textAlignment w:val="auto"/>
        <w:rPr>
          <w:rFonts w:ascii="仿宋_GB2312" w:hAnsi="Times New Roman" w:eastAsia="仿宋_GB2312" w:cs="Times New Roman"/>
          <w:sz w:val="28"/>
          <w:szCs w:val="28"/>
        </w:rPr>
      </w:pPr>
      <w:r>
        <w:rPr>
          <w:rFonts w:hint="eastAsia" w:ascii="仿宋_GB2312" w:hAnsi="Times New Roman" w:eastAsia="仿宋_GB2312" w:cs="Times New Roman"/>
          <w:sz w:val="28"/>
          <w:szCs w:val="28"/>
        </w:rPr>
        <w:t>1. “课程开设情况”，一门课开设多期，则填写多行记录，学期开始时间和结束时间具体到日，格式如：2016-9-1（年-月-日）；</w:t>
      </w:r>
      <w:r>
        <w:rPr>
          <w:rFonts w:hint="eastAsia" w:ascii="仿宋_GB2312" w:hAnsi="Times New Roman" w:eastAsia="仿宋_GB2312" w:cs="Times New Roman"/>
          <w:sz w:val="28"/>
          <w:szCs w:val="28"/>
        </w:rPr>
        <w:br w:type="textWrapping"/>
      </w:r>
      <w:r>
        <w:rPr>
          <w:rFonts w:hint="eastAsia" w:ascii="仿宋_GB2312" w:hAnsi="Times New Roman" w:eastAsia="仿宋_GB2312" w:cs="Times New Roman"/>
          <w:sz w:val="28"/>
          <w:szCs w:val="28"/>
        </w:rPr>
        <w:t xml:space="preserve">    2. “第（）、（）期课程资源与学习信息”，可以任选“课程开设情况”中的两期填写所有数据，括号中填写“开设学期”的数字；非视频资源包括课件、参考资料、测试题、作业题、考试题等；测验和作业总次数指所有学习章节中包含的随堂测验、课后作业等的总布置次数，参与人数指参与测验和作业的总人次；发帖总数指开贴和回复的总次数，参与互动人数指开贴和回复的总人次。</w:t>
      </w:r>
    </w:p>
    <w:bookmarkEnd w:id="1"/>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ascii="仿宋_GB2312" w:hAnsi="Times New Roman" w:eastAsia="仿宋_GB2312" w:cs="Times New Roman"/>
          <w:sz w:val="28"/>
          <w:szCs w:val="28"/>
        </w:rPr>
        <w:br w:type="page"/>
      </w:r>
      <w:r>
        <w:rPr>
          <w:rFonts w:hint="eastAsia" w:ascii="仿宋_GB2312" w:hAnsi="华文中宋" w:eastAsia="仿宋_GB2312" w:cs="宋体"/>
          <w:bCs/>
          <w:color w:val="000000"/>
          <w:kern w:val="0"/>
          <w:sz w:val="28"/>
          <w:szCs w:val="28"/>
        </w:rPr>
        <w:t>附件2</w:t>
      </w:r>
    </w:p>
    <w:p>
      <w:pPr>
        <w:keepNext w:val="0"/>
        <w:keepLines w:val="0"/>
        <w:pageBreakBefore w:val="0"/>
        <w:kinsoku/>
        <w:wordWrap/>
        <w:overflowPunct/>
        <w:topLinePunct w:val="0"/>
        <w:autoSpaceDE/>
        <w:autoSpaceDN/>
        <w:bidi w:val="0"/>
        <w:adjustRightInd/>
        <w:snapToGrid/>
        <w:spacing w:line="600" w:lineRule="exact"/>
        <w:jc w:val="center"/>
        <w:textAlignment w:val="auto"/>
        <w:rPr>
          <w:rFonts w:ascii="黑体" w:hAnsi="黑体" w:eastAsia="黑体" w:cs="宋体"/>
          <w:kern w:val="0"/>
          <w:sz w:val="36"/>
          <w:szCs w:val="36"/>
        </w:rPr>
      </w:pPr>
      <w:r>
        <w:rPr>
          <w:rFonts w:hint="eastAsia" w:ascii="黑体" w:hAnsi="黑体" w:eastAsia="黑体" w:cs="宋体"/>
          <w:kern w:val="0"/>
          <w:sz w:val="36"/>
          <w:szCs w:val="36"/>
        </w:rPr>
        <w:t>项目基本信息表</w:t>
      </w:r>
    </w:p>
    <w:p>
      <w:pPr>
        <w:keepNext w:val="0"/>
        <w:keepLines w:val="0"/>
        <w:pageBreakBefore w:val="0"/>
        <w:kinsoku/>
        <w:wordWrap/>
        <w:overflowPunct/>
        <w:topLinePunct w:val="0"/>
        <w:autoSpaceDE/>
        <w:autoSpaceDN/>
        <w:bidi w:val="0"/>
        <w:adjustRightInd/>
        <w:snapToGrid/>
        <w:spacing w:line="600" w:lineRule="exact"/>
        <w:jc w:val="center"/>
        <w:textAlignment w:val="auto"/>
        <w:rPr>
          <w:rFonts w:ascii="黑体" w:hAnsi="黑体" w:eastAsia="黑体" w:cs="宋体"/>
          <w:kern w:val="0"/>
          <w:sz w:val="24"/>
          <w:szCs w:val="36"/>
        </w:rPr>
      </w:pPr>
      <w:r>
        <w:rPr>
          <w:rFonts w:hint="eastAsia" w:ascii="黑体" w:hAnsi="黑体" w:eastAsia="黑体" w:cs="宋体"/>
          <w:kern w:val="0"/>
          <w:sz w:val="24"/>
          <w:szCs w:val="36"/>
        </w:rPr>
        <w:t>供虚拟仿真实验教学项目使用</w:t>
      </w:r>
    </w:p>
    <w:tbl>
      <w:tblPr>
        <w:tblStyle w:val="5"/>
        <w:tblW w:w="0" w:type="auto"/>
        <w:tblInd w:w="-1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94"/>
        <w:gridCol w:w="5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694"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实验教学项目名称</w:t>
            </w:r>
          </w:p>
        </w:tc>
        <w:tc>
          <w:tcPr>
            <w:tcW w:w="5670"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694"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学校名称</w:t>
            </w:r>
          </w:p>
        </w:tc>
        <w:tc>
          <w:tcPr>
            <w:tcW w:w="5670"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694"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实验教学项目负责人</w:t>
            </w:r>
          </w:p>
        </w:tc>
        <w:tc>
          <w:tcPr>
            <w:tcW w:w="5670"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694"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有效链接网址</w:t>
            </w:r>
          </w:p>
        </w:tc>
        <w:tc>
          <w:tcPr>
            <w:tcW w:w="5670"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694"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视频资源网址（可在线播放）</w:t>
            </w:r>
          </w:p>
        </w:tc>
        <w:tc>
          <w:tcPr>
            <w:tcW w:w="5670"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p>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p>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说明：视频资源内容应重点介绍实验教学项目的基本情况，包括实验名称、实验目的、实验环境、实验内容、实验要求、实验方法、实验步骤、实验注意事项等，实现对所申报实验项目的真实反映，激发使用者的参与愿望。时长5-10分钟，画面清晰、图像稳定，声音与画面同步且无杂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694"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满足实验教学的课时数</w:t>
            </w:r>
          </w:p>
        </w:tc>
        <w:tc>
          <w:tcPr>
            <w:tcW w:w="5670"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694"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r>
              <w:rPr>
                <w:rFonts w:hint="eastAsia" w:ascii="宋体" w:hAnsi="宋体" w:eastAsia="宋体" w:cs="宋体"/>
                <w:kern w:val="0"/>
                <w:sz w:val="22"/>
              </w:rPr>
              <w:t>学生实际参与的交互性实验操作步骤数</w:t>
            </w:r>
          </w:p>
        </w:tc>
        <w:tc>
          <w:tcPr>
            <w:tcW w:w="5670" w:type="dxa"/>
            <w:noWrap w:val="0"/>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2"/>
              </w:rPr>
            </w:pPr>
          </w:p>
        </w:tc>
      </w:tr>
    </w:tbl>
    <w:p>
      <w:pPr>
        <w:keepNext w:val="0"/>
        <w:keepLines w:val="0"/>
        <w:pageBreakBefore w:val="0"/>
        <w:kinsoku/>
        <w:wordWrap/>
        <w:overflowPunct/>
        <w:topLinePunct w:val="0"/>
        <w:autoSpaceDE/>
        <w:autoSpaceDN/>
        <w:bidi w:val="0"/>
        <w:adjustRightInd/>
        <w:snapToGrid/>
        <w:spacing w:line="600" w:lineRule="exact"/>
        <w:ind w:right="280" w:firstLine="552" w:firstLineChars="200"/>
        <w:jc w:val="right"/>
        <w:textAlignment w:val="auto"/>
        <w:rPr>
          <w:rFonts w:ascii="仿宋_GB2312" w:hAnsi="Times New Roman" w:eastAsia="仿宋_GB2312" w:cs="Times New Roman"/>
          <w:sz w:val="28"/>
          <w:szCs w:val="24"/>
        </w:rPr>
      </w:pPr>
    </w:p>
    <w:p>
      <w:pPr>
        <w:keepNext w:val="0"/>
        <w:keepLines w:val="0"/>
        <w:pageBreakBefore w:val="0"/>
        <w:kinsoku/>
        <w:wordWrap/>
        <w:overflowPunct/>
        <w:topLinePunct w:val="0"/>
        <w:autoSpaceDE/>
        <w:autoSpaceDN/>
        <w:bidi w:val="0"/>
        <w:adjustRightInd/>
        <w:snapToGrid/>
        <w:spacing w:line="600" w:lineRule="exact"/>
        <w:ind w:right="280" w:firstLine="552" w:firstLineChars="200"/>
        <w:jc w:val="right"/>
        <w:textAlignment w:val="auto"/>
        <w:rPr>
          <w:rFonts w:ascii="仿宋_GB2312" w:hAnsi="Times New Roman" w:eastAsia="仿宋_GB2312" w:cs="Times New Roman"/>
          <w:sz w:val="28"/>
          <w:szCs w:val="24"/>
        </w:rPr>
      </w:pPr>
      <w:r>
        <w:rPr>
          <w:rFonts w:hint="eastAsia" w:ascii="仿宋_GB2312" w:hAnsi="Times New Roman" w:eastAsia="仿宋_GB2312" w:cs="Times New Roman"/>
          <w:sz w:val="28"/>
          <w:szCs w:val="24"/>
        </w:rPr>
        <w:t>（学校教务处公章）</w:t>
      </w:r>
    </w:p>
    <w:p>
      <w:pPr>
        <w:spacing w:line="600" w:lineRule="exact"/>
        <w:ind w:right="280" w:firstLine="552" w:firstLineChars="200"/>
        <w:jc w:val="right"/>
        <w:rPr>
          <w:rFonts w:ascii="方正仿宋_GBK"/>
          <w:szCs w:val="28"/>
        </w:rPr>
      </w:pPr>
      <w:r>
        <w:rPr>
          <w:rFonts w:hint="eastAsia" w:ascii="仿宋_GB2312" w:hAnsi="Times New Roman" w:eastAsia="仿宋_GB2312" w:cs="Times New Roman"/>
          <w:sz w:val="28"/>
          <w:szCs w:val="24"/>
        </w:rPr>
        <w:t xml:space="preserve">年 </w:t>
      </w:r>
      <w:r>
        <w:rPr>
          <w:rFonts w:ascii="仿宋_GB2312" w:hAnsi="Times New Roman" w:eastAsia="仿宋_GB2312" w:cs="Times New Roman"/>
          <w:sz w:val="28"/>
          <w:szCs w:val="24"/>
        </w:rPr>
        <w:t xml:space="preserve"> </w:t>
      </w:r>
      <w:r>
        <w:rPr>
          <w:rFonts w:hint="eastAsia" w:ascii="仿宋_GB2312" w:hAnsi="Times New Roman" w:eastAsia="仿宋_GB2312" w:cs="Times New Roman"/>
          <w:sz w:val="28"/>
          <w:szCs w:val="24"/>
        </w:rPr>
        <w:t xml:space="preserve">月 </w:t>
      </w:r>
      <w:r>
        <w:rPr>
          <w:rFonts w:ascii="仿宋_GB2312" w:hAnsi="Times New Roman" w:eastAsia="仿宋_GB2312" w:cs="Times New Roman"/>
          <w:sz w:val="28"/>
          <w:szCs w:val="24"/>
        </w:rPr>
        <w:t xml:space="preserve"> </w:t>
      </w:r>
      <w:r>
        <w:rPr>
          <w:rFonts w:hint="eastAsia" w:ascii="仿宋_GB2312" w:hAnsi="Times New Roman" w:eastAsia="仿宋_GB2312" w:cs="Times New Roman"/>
          <w:sz w:val="28"/>
          <w:szCs w:val="24"/>
        </w:rPr>
        <w:t>日</w:t>
      </w:r>
      <w:bookmarkEnd w:id="0"/>
    </w:p>
    <w:p/>
    <w:sectPr>
      <w:footerReference r:id="rId3" w:type="default"/>
      <w:footerReference r:id="rId4" w:type="even"/>
      <w:pgSz w:w="11906" w:h="16838"/>
      <w:pgMar w:top="2041" w:right="1531" w:bottom="2041" w:left="1531" w:header="851" w:footer="1588" w:gutter="0"/>
      <w:pgNumType w:start="2"/>
      <w:cols w:space="720"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方正仿宋_GBK">
    <w:altName w:val="Arial Unicode MS"/>
    <w:panose1 w:val="02000000000000000000"/>
    <w:charset w:val="86"/>
    <w:family w:val="auto"/>
    <w:pitch w:val="default"/>
    <w:sig w:usb0="00000001" w:usb1="08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0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Arial Unicode MS"/>
    <w:panose1 w:val="02000000000000000000"/>
    <w:charset w:val="86"/>
    <w:family w:val="roman"/>
    <w:pitch w:val="default"/>
    <w:sig w:usb0="00000001" w:usb1="08000000" w:usb2="00000000" w:usb3="00000000" w:csb0="00040000" w:csb1="00000000"/>
  </w:font>
  <w:font w:name="方正黑体_GBK">
    <w:altName w:val="Arial Unicode MS"/>
    <w:panose1 w:val="02000000000000000000"/>
    <w:charset w:val="86"/>
    <w:family w:val="auto"/>
    <w:pitch w:val="default"/>
    <w:sig w:usb0="00000001" w:usb1="08000000" w:usb2="00000000" w:usb3="00000000" w:csb0="00040000" w:csb1="00000000"/>
  </w:font>
  <w:font w:name="方正楷体_GBK">
    <w:altName w:val="Arial Unicode MS"/>
    <w:panose1 w:val="02000000000000000000"/>
    <w:charset w:val="86"/>
    <w:family w:val="auto"/>
    <w:pitch w:val="default"/>
    <w:sig w:usb0="00000001" w:usb1="08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posOffset>4765040</wp:posOffset>
              </wp:positionH>
              <wp:positionV relativeFrom="paragraph">
                <wp:posOffset>18415</wp:posOffset>
              </wp:positionV>
              <wp:extent cx="850900" cy="212090"/>
              <wp:effectExtent l="0" t="0" r="0" b="0"/>
              <wp:wrapNone/>
              <wp:docPr id="4" name="文本框 2"/>
              <wp:cNvGraphicFramePr/>
              <a:graphic xmlns:a="http://schemas.openxmlformats.org/drawingml/2006/main">
                <a:graphicData uri="http://schemas.microsoft.com/office/word/2010/wordprocessingShape">
                  <wps:wsp>
                    <wps:cNvSpPr txBox="1"/>
                    <wps:spPr>
                      <a:xfrm>
                        <a:off x="0" y="0"/>
                        <a:ext cx="850900" cy="212090"/>
                      </a:xfrm>
                      <a:prstGeom prst="rect">
                        <a:avLst/>
                      </a:prstGeom>
                      <a:noFill/>
                      <a:ln>
                        <a:noFill/>
                      </a:ln>
                    </wps:spPr>
                    <wps:txbx>
                      <w:txbxContent>
                        <w:p>
                          <w:pPr>
                            <w:pStyle w:val="3"/>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wrap="square" lIns="0" tIns="0" rIns="0" bIns="0" upright="1"/>
                  </wps:wsp>
                </a:graphicData>
              </a:graphic>
            </wp:anchor>
          </w:drawing>
        </mc:Choice>
        <mc:Fallback>
          <w:pict>
            <v:shape id="文本框 2" o:spid="_x0000_s1026" o:spt="202" type="#_x0000_t202" style="position:absolute;left:0pt;margin-left:375.2pt;margin-top:1.45pt;height:16.7pt;width:67pt;mso-position-horizontal-relative:margin;z-index:251659264;mso-width-relative:page;mso-height-relative:page;" filled="f" stroked="f" coordsize="21600,21600" o:gfxdata="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GDqCuPXAAAACAEAAA8AAAAAAAAAAQAgAAAAIgAAAGRycy9kb3ducmV2Lnht&#10;bFBLAQIUABQAAAAIAIdO4kDvRKnDwQEAAH8DAAAOAAAAAAAAAAEAIAAAACYBAABkcnMvZTJvRG9j&#10;LnhtbFBLBQYAAAAABgAGAFkBAABZBQAAAAA=&#10;">
              <v:fill on="f" focussize="0,0"/>
              <v:stroke on="f"/>
              <v:imagedata o:title=""/>
              <o:lock v:ext="edit" aspectratio="f"/>
              <v:textbox inset="0mm,0mm,0mm,0mm">
                <w:txbxContent>
                  <w:p>
                    <w:pPr>
                      <w:pStyle w:val="3"/>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ascii="宋体" w:hAnsi="宋体" w:eastAsia="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posOffset>219075</wp:posOffset>
              </wp:positionH>
              <wp:positionV relativeFrom="paragraph">
                <wp:posOffset>635</wp:posOffset>
              </wp:positionV>
              <wp:extent cx="831215" cy="229870"/>
              <wp:effectExtent l="0" t="0" r="0" b="0"/>
              <wp:wrapNone/>
              <wp:docPr id="5" name="文本框 1"/>
              <wp:cNvGraphicFramePr/>
              <a:graphic xmlns:a="http://schemas.openxmlformats.org/drawingml/2006/main">
                <a:graphicData uri="http://schemas.microsoft.com/office/word/2010/wordprocessingShape">
                  <wps:wsp>
                    <wps:cNvSpPr txBox="1"/>
                    <wps:spPr>
                      <a:xfrm>
                        <a:off x="0" y="0"/>
                        <a:ext cx="831215" cy="229870"/>
                      </a:xfrm>
                      <a:prstGeom prst="rect">
                        <a:avLst/>
                      </a:prstGeom>
                      <a:noFill/>
                      <a:ln>
                        <a:noFill/>
                      </a:ln>
                    </wps:spPr>
                    <wps:txbx>
                      <w:txbxContent>
                        <w:p>
                          <w:pPr>
                            <w:pStyle w:val="3"/>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wrap="square" lIns="0" tIns="0" rIns="0" bIns="0" upright="1"/>
                  </wps:wsp>
                </a:graphicData>
              </a:graphic>
            </wp:anchor>
          </w:drawing>
        </mc:Choice>
        <mc:Fallback>
          <w:pict>
            <v:shape id="文本框 1" o:spid="_x0000_s1026" o:spt="202" type="#_x0000_t202" style="position:absolute;left:0pt;margin-left:17.25pt;margin-top:0.05pt;height:18.1pt;width:65.45pt;mso-position-horizontal-relative:margin;z-index:251660288;mso-width-relative:page;mso-height-relative:page;" filled="f" stroked="f" coordsize="21600,21600" o:gfxdata="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bKBtAtMAAAAGAQAADwAAAAAAAAABACAAAAAiAAAAZHJzL2Rvd25yZXYueG1s&#10;UEsBAhQAFAAAAAgAh07iQDMRkLzEAQAAfwMAAA4AAAAAAAAAAQAgAAAAIgEAAGRycy9lMm9Eb2Mu&#10;eG1sUEsFBgAAAAAGAAYAWQEAAFgFAAAAAA==&#10;">
              <v:fill on="f" focussize="0,0"/>
              <v:stroke on="f"/>
              <v:imagedata o:title=""/>
              <o:lock v:ext="edit" aspectratio="f"/>
              <v:textbox inset="0mm,0mm,0mm,0mm">
                <w:txbxContent>
                  <w:p>
                    <w:pPr>
                      <w:pStyle w:val="3"/>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trackRevisions w:val="1"/>
  <w:documentProtection w:enforcement="0"/>
  <w:defaultTabStop w:val="420"/>
  <w:hyphenationZone w:val="360"/>
  <w:evenAndOddHeaders w:val="1"/>
  <w:drawingGridHorizontalSpacing w:val="158"/>
  <w:drawingGridVerticalSpacing w:val="579"/>
  <w:displayHorizontalDrawingGridEvery w:val="1"/>
  <w:displayVerticalDrawingGridEvery w:val="1"/>
  <w:doNotShadeFormData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26F"/>
    <w:rsid w:val="00042B8B"/>
    <w:rsid w:val="00055DFE"/>
    <w:rsid w:val="000665C5"/>
    <w:rsid w:val="00080400"/>
    <w:rsid w:val="000D3642"/>
    <w:rsid w:val="000F32FF"/>
    <w:rsid w:val="001047F9"/>
    <w:rsid w:val="00197D07"/>
    <w:rsid w:val="001B5C79"/>
    <w:rsid w:val="001C0B8F"/>
    <w:rsid w:val="002149F3"/>
    <w:rsid w:val="00222068"/>
    <w:rsid w:val="0022574F"/>
    <w:rsid w:val="002860AC"/>
    <w:rsid w:val="002B55D0"/>
    <w:rsid w:val="002D4AF7"/>
    <w:rsid w:val="002D70E1"/>
    <w:rsid w:val="002E04D7"/>
    <w:rsid w:val="00331FAF"/>
    <w:rsid w:val="00370F5B"/>
    <w:rsid w:val="0039412E"/>
    <w:rsid w:val="003A1DEF"/>
    <w:rsid w:val="003D5232"/>
    <w:rsid w:val="004065BD"/>
    <w:rsid w:val="004A0E45"/>
    <w:rsid w:val="004C51AE"/>
    <w:rsid w:val="004E2B80"/>
    <w:rsid w:val="004F63E2"/>
    <w:rsid w:val="00521C5D"/>
    <w:rsid w:val="00556AB3"/>
    <w:rsid w:val="0058351A"/>
    <w:rsid w:val="00597920"/>
    <w:rsid w:val="005E242B"/>
    <w:rsid w:val="005E346B"/>
    <w:rsid w:val="00604C11"/>
    <w:rsid w:val="006352CD"/>
    <w:rsid w:val="00690638"/>
    <w:rsid w:val="006D5FC9"/>
    <w:rsid w:val="006F1C37"/>
    <w:rsid w:val="006F6041"/>
    <w:rsid w:val="00747236"/>
    <w:rsid w:val="007707B0"/>
    <w:rsid w:val="007740C2"/>
    <w:rsid w:val="007C460B"/>
    <w:rsid w:val="007D209D"/>
    <w:rsid w:val="008640D0"/>
    <w:rsid w:val="008664D7"/>
    <w:rsid w:val="00872278"/>
    <w:rsid w:val="00882557"/>
    <w:rsid w:val="008B1450"/>
    <w:rsid w:val="008C4313"/>
    <w:rsid w:val="008D48CC"/>
    <w:rsid w:val="008F2C2D"/>
    <w:rsid w:val="00913A54"/>
    <w:rsid w:val="009452A5"/>
    <w:rsid w:val="0098012D"/>
    <w:rsid w:val="00995747"/>
    <w:rsid w:val="009A4676"/>
    <w:rsid w:val="009C247E"/>
    <w:rsid w:val="009F6772"/>
    <w:rsid w:val="00A12F50"/>
    <w:rsid w:val="00A30C9D"/>
    <w:rsid w:val="00A310D1"/>
    <w:rsid w:val="00A4385C"/>
    <w:rsid w:val="00A95212"/>
    <w:rsid w:val="00AD7DE1"/>
    <w:rsid w:val="00B0239C"/>
    <w:rsid w:val="00B21C93"/>
    <w:rsid w:val="00B26CCC"/>
    <w:rsid w:val="00B92D89"/>
    <w:rsid w:val="00BC1258"/>
    <w:rsid w:val="00C05144"/>
    <w:rsid w:val="00C3401C"/>
    <w:rsid w:val="00C70B0B"/>
    <w:rsid w:val="00D23A2F"/>
    <w:rsid w:val="00D34FA4"/>
    <w:rsid w:val="00DA2867"/>
    <w:rsid w:val="00DA3107"/>
    <w:rsid w:val="00DC1111"/>
    <w:rsid w:val="00DF75EA"/>
    <w:rsid w:val="00E01989"/>
    <w:rsid w:val="00E46065"/>
    <w:rsid w:val="00E655F2"/>
    <w:rsid w:val="00E8043B"/>
    <w:rsid w:val="00EC1B9B"/>
    <w:rsid w:val="00ED1B39"/>
    <w:rsid w:val="00F15DD0"/>
    <w:rsid w:val="00F36810"/>
    <w:rsid w:val="00F52D28"/>
    <w:rsid w:val="00F55F5F"/>
    <w:rsid w:val="00F80CB4"/>
    <w:rsid w:val="00FE7E7F"/>
    <w:rsid w:val="230D4F6B"/>
    <w:rsid w:val="3FFBC954"/>
    <w:rsid w:val="5DFE49A6"/>
    <w:rsid w:val="6BE8DA5C"/>
    <w:rsid w:val="6E414BDD"/>
    <w:rsid w:val="6FF5936C"/>
    <w:rsid w:val="73FD2107"/>
    <w:rsid w:val="75BDE837"/>
    <w:rsid w:val="7BCE7A88"/>
    <w:rsid w:val="7D6DB019"/>
    <w:rsid w:val="7F7FF08C"/>
    <w:rsid w:val="DFBD1375"/>
    <w:rsid w:val="F24FF705"/>
    <w:rsid w:val="F3A34569"/>
    <w:rsid w:val="FDBD6F92"/>
    <w:rsid w:val="FFBDB274"/>
    <w:rsid w:val="FFF79FC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rules v:ext="edit">
        <o:r id="V:Rule1" type="connector" idref="#_x0000_s1030"/>
        <o:r id="V:Rule2"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方正仿宋_GBK" w:cs="Times New Roman"/>
      <w:kern w:val="2"/>
      <w:sz w:val="32"/>
      <w:szCs w:val="24"/>
      <w:lang w:val="en-US" w:eastAsia="zh-CN" w:bidi="ar-SA"/>
    </w:rPr>
  </w:style>
  <w:style w:type="character" w:default="1" w:styleId="6">
    <w:name w:val="Default Paragraph Font"/>
    <w:uiPriority w:val="0"/>
    <w:rPr>
      <w:rFonts w:ascii="Times New Roman" w:hAnsi="Times New Roman" w:eastAsia="宋体" w:cs="Times New Roman"/>
    </w:rPr>
  </w:style>
  <w:style w:type="table" w:default="1" w:styleId="5">
    <w:name w:val="Normal Table"/>
    <w:uiPriority w:val="0"/>
    <w:rPr>
      <w:rFonts w:ascii="Times New Roman" w:hAnsi="Times New Roman" w:eastAsia="宋体" w:cs="Times New Roman"/>
    </w:rPr>
    <w:tblPr>
      <w:tblStyle w:val="5"/>
      <w:tblCellMar>
        <w:top w:w="0" w:type="dxa"/>
        <w:left w:w="108" w:type="dxa"/>
        <w:bottom w:w="0" w:type="dxa"/>
        <w:right w:w="108" w:type="dxa"/>
      </w:tblCellMar>
    </w:tblPr>
  </w:style>
  <w:style w:type="paragraph" w:styleId="2">
    <w:name w:val="Balloon Text"/>
    <w:basedOn w:val="1"/>
    <w:link w:val="11"/>
    <w:uiPriority w:val="0"/>
    <w:rPr>
      <w:rFonts w:ascii="Times New Roman" w:hAnsi="Times New Roman" w:eastAsia="宋体" w:cs="Times New Roman"/>
      <w:sz w:val="18"/>
      <w:szCs w:val="18"/>
    </w:rPr>
  </w:style>
  <w:style w:type="paragraph" w:styleId="3">
    <w:name w:val="footer"/>
    <w:basedOn w:val="1"/>
    <w:link w:val="12"/>
    <w:uiPriority w:val="0"/>
    <w:pPr>
      <w:tabs>
        <w:tab w:val="center" w:pos="4153"/>
        <w:tab w:val="right" w:pos="8306"/>
      </w:tabs>
      <w:snapToGrid w:val="0"/>
      <w:jc w:val="left"/>
    </w:pPr>
    <w:rPr>
      <w:rFonts w:ascii="Times New Roman" w:hAnsi="Times New Roman" w:eastAsia="仿宋_GB2312" w:cs="Times New Roman"/>
      <w:sz w:val="18"/>
      <w:szCs w:val="20"/>
    </w:rPr>
  </w:style>
  <w:style w:type="paragraph" w:styleId="4">
    <w:name w:val="header"/>
    <w:basedOn w:val="1"/>
    <w:link w:val="13"/>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character" w:styleId="7">
    <w:name w:val="page number"/>
    <w:basedOn w:val="6"/>
    <w:uiPriority w:val="0"/>
    <w:rPr>
      <w:rFonts w:ascii="Times New Roman" w:hAnsi="Times New Roman" w:eastAsia="宋体" w:cs="Times New Roman"/>
    </w:rPr>
  </w:style>
  <w:style w:type="character" w:customStyle="1" w:styleId="8">
    <w:name w:val="页脚 Char"/>
    <w:link w:val="3"/>
    <w:uiPriority w:val="0"/>
    <w:rPr>
      <w:rFonts w:ascii="Times New Roman" w:hAnsi="Times New Roman" w:eastAsia="仿宋_GB2312" w:cs="Times New Roman"/>
      <w:kern w:val="2"/>
      <w:sz w:val="18"/>
    </w:rPr>
  </w:style>
  <w:style w:type="character" w:customStyle="1" w:styleId="9">
    <w:name w:val="批注框文本 Char"/>
    <w:link w:val="2"/>
    <w:uiPriority w:val="0"/>
    <w:rPr>
      <w:rFonts w:ascii="Times New Roman" w:hAnsi="Times New Roman" w:eastAsia="方正仿宋_GBK" w:cs="Times New Roman"/>
      <w:kern w:val="2"/>
      <w:sz w:val="18"/>
      <w:szCs w:val="18"/>
    </w:rPr>
  </w:style>
  <w:style w:type="character" w:customStyle="1" w:styleId="10">
    <w:name w:val="页眉 Char"/>
    <w:link w:val="4"/>
    <w:uiPriority w:val="0"/>
    <w:rPr>
      <w:rFonts w:ascii="Times New Roman" w:hAnsi="Times New Roman" w:eastAsia="宋体" w:cs="Times New Roman"/>
      <w:kern w:val="2"/>
      <w:sz w:val="18"/>
      <w:szCs w:val="18"/>
    </w:rPr>
  </w:style>
  <w:style w:type="character" w:customStyle="1" w:styleId="11">
    <w:name w:val="批注框文本 字符"/>
    <w:link w:val="2"/>
    <w:uiPriority w:val="0"/>
    <w:rPr>
      <w:rFonts w:ascii="Times New Roman" w:hAnsi="Times New Roman" w:eastAsia="方正仿宋_GBK" w:cs="Times New Roman"/>
      <w:kern w:val="2"/>
      <w:sz w:val="18"/>
      <w:szCs w:val="18"/>
    </w:rPr>
  </w:style>
  <w:style w:type="character" w:customStyle="1" w:styleId="12">
    <w:name w:val="页脚 字符"/>
    <w:link w:val="3"/>
    <w:uiPriority w:val="0"/>
    <w:rPr>
      <w:rFonts w:ascii="Times New Roman" w:hAnsi="Times New Roman" w:eastAsia="仿宋_GB2312" w:cs="Times New Roman"/>
      <w:kern w:val="2"/>
      <w:sz w:val="18"/>
    </w:rPr>
  </w:style>
  <w:style w:type="character" w:customStyle="1" w:styleId="13">
    <w:name w:val="页眉 字符"/>
    <w:link w:val="4"/>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12304;&#40857;&#35759;&#39033;&#30446;&#23454;&#26045;&#20013;&#24515;&#12305;\2020&#21150;&#20844;OA&#39033;&#30446;&#23454;&#26045;\&#23433;&#24509;&#30465;&#25945;&#32946;&#21381;OA&#39033;&#30446;\&#12304;72&#12305;office&#25511;&#20214;&#39044;&#35774;&#26684;&#24335;&#27169;&#26495;\office&#25511;&#20214;&#39044;&#35774;&#26684;&#24335;&#27169;&#26495;-&#26368;&#32456;.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Info spid="_x0000_s1028"/>
    <customShpInfo spid="_x0000_s1030"/>
    <customShpInfo spid="_x0000_s1031"/>
    <customShpInfo spid="_x0000_s1029"/>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0.方正公文</Template>
  <Company>微软中国</Company>
  <Pages>1</Pages>
  <Words>0</Words>
  <Characters>2</Characters>
  <Lines>1</Lines>
  <Paragraphs>1</Paragraphs>
  <TotalTime>30.3333333333333</TotalTime>
  <ScaleCrop>false</ScaleCrop>
  <LinksUpToDate>false</LinksUpToDate>
  <CharactersWithSpaces>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2012-07-25T02:00:00Z</dcterms:created>
  <dc:creator>邵明</dc:creator>
  <cp:lastModifiedBy>wj2741516</cp:lastModifiedBy>
  <cp:lastPrinted>2022-03-23T07:34:46Z</cp:lastPrinted>
  <dcterms:modified xsi:type="dcterms:W3CDTF">2022-03-23T08:40:08Z</dcterms:modified>
  <dc:title>文件模板</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EB42979511484700BB3EB52767FF0335</vt:lpwstr>
  </property>
</Properties>
</file>